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B09" w:rsidRDefault="00324328" w:rsidP="00324328">
      <w:pPr>
        <w:jc w:val="center"/>
        <w:rPr>
          <w:b/>
          <w:color w:val="2E74B5" w:themeColor="accent1" w:themeShade="BF"/>
          <w:sz w:val="48"/>
          <w:szCs w:val="48"/>
        </w:rPr>
      </w:pPr>
      <w:r w:rsidRPr="00324328">
        <w:rPr>
          <w:b/>
          <w:color w:val="2E74B5" w:themeColor="accent1" w:themeShade="BF"/>
          <w:sz w:val="48"/>
          <w:szCs w:val="48"/>
        </w:rPr>
        <w:t>Die Sieben Compliance Säulen</w:t>
      </w:r>
    </w:p>
    <w:p w:rsidR="00324328" w:rsidRDefault="00324328" w:rsidP="00324328">
      <w:pPr>
        <w:rPr>
          <w:b/>
          <w:color w:val="2E74B5" w:themeColor="accent1" w:themeShade="BF"/>
          <w:sz w:val="48"/>
          <w:szCs w:val="48"/>
        </w:rPr>
      </w:pPr>
    </w:p>
    <w:p w:rsidR="00324328" w:rsidRDefault="00324328" w:rsidP="00301347">
      <w:pPr>
        <w:pStyle w:val="berschrift1"/>
      </w:pPr>
      <w:r>
        <w:t>Kultur: Welche Betriebswerte sind wichtig?</w:t>
      </w:r>
    </w:p>
    <w:p w:rsidR="00301347" w:rsidRPr="00301347" w:rsidRDefault="00301347" w:rsidP="00301347"/>
    <w:p w:rsidR="00324328" w:rsidRDefault="00324328" w:rsidP="007F2D0A">
      <w:pPr>
        <w:spacing w:line="360" w:lineRule="auto"/>
      </w:pPr>
      <w:r>
        <w:t xml:space="preserve">Eine definierte TCMS Kultur ist bisher in der Stadt Overath </w:t>
      </w:r>
      <w:r w:rsidRPr="00301347">
        <w:rPr>
          <w:b/>
        </w:rPr>
        <w:t>nicht vorhanden</w:t>
      </w:r>
      <w:r>
        <w:t xml:space="preserve">. Die notwendigen steuerlichen Pflichten wurden nachgehalten, allerdings </w:t>
      </w:r>
      <w:r w:rsidRPr="00301347">
        <w:rPr>
          <w:b/>
        </w:rPr>
        <w:t>ohne</w:t>
      </w:r>
      <w:r>
        <w:t xml:space="preserve"> eine dahinterstehende verbindliche </w:t>
      </w:r>
      <w:r w:rsidRPr="00301347">
        <w:rPr>
          <w:b/>
        </w:rPr>
        <w:t>Vereinbarung</w:t>
      </w:r>
      <w:r>
        <w:t>.</w:t>
      </w:r>
    </w:p>
    <w:p w:rsidR="00324328" w:rsidRDefault="00324328" w:rsidP="007F2D0A">
      <w:pPr>
        <w:spacing w:line="360" w:lineRule="auto"/>
      </w:pPr>
      <w:r>
        <w:t xml:space="preserve">Fakt ist, dass bereits zum jetzigen Zeitpunkt </w:t>
      </w:r>
      <w:r w:rsidR="00301347">
        <w:t xml:space="preserve">die </w:t>
      </w:r>
      <w:r w:rsidR="00301347" w:rsidRPr="00301347">
        <w:rPr>
          <w:b/>
        </w:rPr>
        <w:t>Leistungen von Dritten</w:t>
      </w:r>
      <w:r w:rsidR="00301347">
        <w:t xml:space="preserve"> eingekauft werden, um die Steuererklärungen für die Stadt Overath zu erstellen. </w:t>
      </w:r>
    </w:p>
    <w:p w:rsidR="00301347" w:rsidRDefault="00301347" w:rsidP="007F2D0A">
      <w:pPr>
        <w:spacing w:line="360" w:lineRule="auto"/>
      </w:pPr>
      <w:r>
        <w:t xml:space="preserve">Zukünftig ist vorgesehen, durch die hier erstellte Ausarbeitung eine </w:t>
      </w:r>
      <w:r w:rsidRPr="001215F5">
        <w:rPr>
          <w:b/>
        </w:rPr>
        <w:t>Grundlage</w:t>
      </w:r>
      <w:r>
        <w:t xml:space="preserve"> zu definieren, in welcher Form die TCMS Kultur zu pflegen ist. Dazu gehören zum einen </w:t>
      </w:r>
      <w:r w:rsidRPr="001215F5">
        <w:rPr>
          <w:b/>
        </w:rPr>
        <w:t>feste Zuständigkeiten, Ausfallabsicherungen und Kommunikation</w:t>
      </w:r>
      <w:r>
        <w:t xml:space="preserve"> innerhalb und außerhalb des Konzerns Stadt. Auf die entsprechenden Details wird im Rahmen der „</w:t>
      </w:r>
      <w:r w:rsidRPr="001215F5">
        <w:rPr>
          <w:b/>
        </w:rPr>
        <w:t>Organisation</w:t>
      </w:r>
      <w:r>
        <w:t xml:space="preserve">“ eingegangen. </w:t>
      </w:r>
    </w:p>
    <w:p w:rsidR="001215F5" w:rsidRDefault="001215F5" w:rsidP="00324328"/>
    <w:p w:rsidR="001215F5" w:rsidRDefault="001215F5" w:rsidP="001215F5">
      <w:pPr>
        <w:pStyle w:val="berschrift1"/>
      </w:pPr>
      <w:r>
        <w:t>Ziele: Welche Zielerreichungen werden sichergestellt?</w:t>
      </w:r>
    </w:p>
    <w:p w:rsidR="001215F5" w:rsidRDefault="001215F5" w:rsidP="00324328"/>
    <w:p w:rsidR="001215F5" w:rsidRPr="00E12330" w:rsidRDefault="001215F5" w:rsidP="007F2D0A">
      <w:pPr>
        <w:spacing w:line="360" w:lineRule="auto"/>
        <w:rPr>
          <w:b/>
        </w:rPr>
      </w:pPr>
      <w:r>
        <w:t xml:space="preserve">Das hinter dem TCMS stehende Ziel ist insbesondere </w:t>
      </w:r>
      <w:r w:rsidR="00E12330">
        <w:t xml:space="preserve">die </w:t>
      </w:r>
      <w:r w:rsidRPr="00E12330">
        <w:rPr>
          <w:b/>
        </w:rPr>
        <w:t>Sicherstellung aller steuerlichen Pflichten.</w:t>
      </w:r>
    </w:p>
    <w:p w:rsidR="001215F5" w:rsidRDefault="001215F5" w:rsidP="007F2D0A">
      <w:pPr>
        <w:spacing w:line="360" w:lineRule="auto"/>
      </w:pPr>
      <w:r>
        <w:t xml:space="preserve">So gilt es durch entsprechende Pflichterfüllung die strafrechtlichen Risiken zu vermeiden. Durch die </w:t>
      </w:r>
      <w:r w:rsidRPr="007F2D0A">
        <w:rPr>
          <w:b/>
        </w:rPr>
        <w:t>Inanspruchnahme der Dienste Dritter</w:t>
      </w:r>
      <w:r>
        <w:t xml:space="preserve"> wird bereits dafür Sorge getragen, dass bei der Abgabe der Steuererklärungen der notwendige Sachverstand eingekauft wird. </w:t>
      </w:r>
    </w:p>
    <w:p w:rsidR="001215F5" w:rsidRDefault="001215F5" w:rsidP="007F2D0A">
      <w:pPr>
        <w:spacing w:line="360" w:lineRule="auto"/>
      </w:pPr>
      <w:r>
        <w:t xml:space="preserve">Damit verbunden sind die </w:t>
      </w:r>
      <w:r w:rsidRPr="007F2D0A">
        <w:rPr>
          <w:b/>
        </w:rPr>
        <w:t>Reputationsrisiken</w:t>
      </w:r>
      <w:r>
        <w:t xml:space="preserve">, die selbstverständlich ebenfalls zu </w:t>
      </w:r>
      <w:r w:rsidRPr="007F2D0A">
        <w:rPr>
          <w:b/>
        </w:rPr>
        <w:t>vermeiden</w:t>
      </w:r>
      <w:r>
        <w:t xml:space="preserve"> sind. Auch hierfür ist die Zusammenarbeit mit Fach</w:t>
      </w:r>
      <w:r w:rsidR="00E12330">
        <w:t>firmen ein wichtiger Bestandteil.</w:t>
      </w:r>
    </w:p>
    <w:p w:rsidR="00E12330" w:rsidRDefault="00E12330" w:rsidP="007F2D0A">
      <w:pPr>
        <w:spacing w:line="360" w:lineRule="auto"/>
      </w:pPr>
      <w:r>
        <w:lastRenderedPageBreak/>
        <w:t>Die Haushaltsrisiken wurden bish</w:t>
      </w:r>
      <w:r w:rsidR="007F2D0A">
        <w:t>er vernachlässigt</w:t>
      </w:r>
      <w:r>
        <w:t xml:space="preserve">. Insbesondere durch die gesetzliche Novellierung der Umsatzsteuer ist zukünftig ein anderer Fokus bei steuerrechtlichen Analysen anzusetzen. Durch die detaillierte Aufarbeitung der Umsatzsteuer, die seit Januar 2020 bei der Stadt Overath stattfindet und auch zukünftig fortgeführt wird, ist hier der erste </w:t>
      </w:r>
      <w:r w:rsidRPr="007F2D0A">
        <w:rPr>
          <w:b/>
        </w:rPr>
        <w:t>Baustein zur Optimierung</w:t>
      </w:r>
      <w:r>
        <w:t xml:space="preserve"> gelegt. </w:t>
      </w:r>
    </w:p>
    <w:p w:rsidR="007F2D0A" w:rsidRPr="001B5B86" w:rsidRDefault="007F2D0A" w:rsidP="007F2D0A">
      <w:pPr>
        <w:spacing w:line="360" w:lineRule="auto"/>
        <w:rPr>
          <w:b/>
          <w:i/>
          <w:color w:val="2E74B5" w:themeColor="accent1" w:themeShade="BF"/>
          <w:sz w:val="28"/>
          <w:szCs w:val="28"/>
        </w:rPr>
      </w:pPr>
      <w:r w:rsidRPr="001B5B86">
        <w:rPr>
          <w:b/>
          <w:i/>
          <w:color w:val="2E74B5" w:themeColor="accent1" w:themeShade="BF"/>
          <w:sz w:val="28"/>
          <w:szCs w:val="28"/>
        </w:rPr>
        <w:t>Ein entsprechender Zielkatalog kann wie folgt aufgebaut werden:</w:t>
      </w:r>
    </w:p>
    <w:p w:rsidR="007F2D0A" w:rsidRDefault="007F2D0A" w:rsidP="007F2D0A">
      <w:pPr>
        <w:pStyle w:val="Listenabsatz"/>
        <w:numPr>
          <w:ilvl w:val="0"/>
          <w:numId w:val="1"/>
        </w:numPr>
        <w:spacing w:line="360" w:lineRule="auto"/>
      </w:pPr>
      <w:r>
        <w:t>Auf der ersten Gliederungsebene sollten die strategischen Hauptziele des TCMS in möglichst allgemeinverständlicher Form dargelegt werden, um den städtischen Mitarbeitern so die die Motive und die Zwecke des Projektes in kompakter Form nahezubringen.</w:t>
      </w:r>
    </w:p>
    <w:p w:rsidR="007F2D0A" w:rsidRDefault="007F2D0A" w:rsidP="007F2D0A">
      <w:pPr>
        <w:pStyle w:val="Listenabsatz"/>
        <w:spacing w:line="360" w:lineRule="auto"/>
      </w:pPr>
      <w:r>
        <w:t xml:space="preserve"> </w:t>
      </w:r>
    </w:p>
    <w:p w:rsidR="007F2D0A" w:rsidRDefault="007F2D0A" w:rsidP="007F2D0A">
      <w:pPr>
        <w:pStyle w:val="Listenabsatz"/>
        <w:numPr>
          <w:ilvl w:val="0"/>
          <w:numId w:val="1"/>
        </w:numPr>
        <w:spacing w:line="360" w:lineRule="auto"/>
      </w:pPr>
      <w:r>
        <w:t>Die zweite Gliederungsebene sollte nur bereits weitgehend operationalisierte Zielvergaben beinhalten, an denen sich die Mitarbeiter auch konkret orientieren können und die für eine Erfolgskontrolle hinreichend präzisiert worden sind.</w:t>
      </w:r>
    </w:p>
    <w:p w:rsidR="007F2D0A" w:rsidRDefault="001B5B86" w:rsidP="007F2D0A">
      <w:pPr>
        <w:spacing w:line="360" w:lineRule="auto"/>
      </w:pPr>
      <w:r>
        <w:t>Eine Entwicklung und Vorgabe hochgradig ausdifferenzierter Zielkataloge unter Berücksichtigung aller erdenklichen Nebenziele sollte dagegen im Interesse der Verständlichkeit, der Vermittlung von Zielprioritäten und zur Vermeidung langwieriger Zieldebatten vermieden werden.</w:t>
      </w:r>
    </w:p>
    <w:p w:rsidR="001B5B86" w:rsidRPr="00A03A30" w:rsidRDefault="001B5B86" w:rsidP="001B5B86">
      <w:pPr>
        <w:pStyle w:val="Listenabsatz"/>
        <w:numPr>
          <w:ilvl w:val="0"/>
          <w:numId w:val="2"/>
        </w:numPr>
        <w:spacing w:line="360" w:lineRule="auto"/>
        <w:rPr>
          <w:b/>
          <w:u w:val="single"/>
        </w:rPr>
      </w:pPr>
      <w:r w:rsidRPr="00A03A30">
        <w:rPr>
          <w:b/>
          <w:u w:val="single"/>
        </w:rPr>
        <w:t>Vermeidung von außerplanmäßigen Haushaltsbelastungen:</w:t>
      </w:r>
    </w:p>
    <w:p w:rsidR="001B5B86" w:rsidRDefault="001B5B86" w:rsidP="001B5B86">
      <w:pPr>
        <w:pStyle w:val="Listenabsatz"/>
        <w:numPr>
          <w:ilvl w:val="1"/>
          <w:numId w:val="2"/>
        </w:numPr>
        <w:spacing w:line="360" w:lineRule="auto"/>
      </w:pPr>
      <w:r>
        <w:t xml:space="preserve">Vermeidung von Steuernachzahlungen und Zinszahlungen auf Nachforderungen </w:t>
      </w:r>
    </w:p>
    <w:p w:rsidR="001B5B86" w:rsidRDefault="001B5B86" w:rsidP="001B5B86">
      <w:pPr>
        <w:pStyle w:val="Listenabsatz"/>
        <w:numPr>
          <w:ilvl w:val="1"/>
          <w:numId w:val="2"/>
        </w:numPr>
        <w:spacing w:line="360" w:lineRule="auto"/>
      </w:pPr>
      <w:r>
        <w:t xml:space="preserve">Vermeidung von Zahlungen für Verspätungs-, Säumnis- oder Strafzahlungszuschläge </w:t>
      </w:r>
    </w:p>
    <w:p w:rsidR="001B5B86" w:rsidRDefault="001B5B86" w:rsidP="001B5B86">
      <w:pPr>
        <w:pStyle w:val="Listenabsatz"/>
        <w:numPr>
          <w:ilvl w:val="1"/>
          <w:numId w:val="2"/>
        </w:numPr>
        <w:spacing w:line="360" w:lineRule="auto"/>
      </w:pPr>
      <w:r>
        <w:t xml:space="preserve">Vermeidung des Verfalls von Steuererstattungsansprüchen </w:t>
      </w:r>
    </w:p>
    <w:p w:rsidR="001B5B86" w:rsidRDefault="001B5B86" w:rsidP="001B5B86">
      <w:pPr>
        <w:pStyle w:val="Listenabsatz"/>
        <w:numPr>
          <w:ilvl w:val="1"/>
          <w:numId w:val="2"/>
        </w:numPr>
        <w:spacing w:line="360" w:lineRule="auto"/>
      </w:pPr>
      <w:r>
        <w:t xml:space="preserve">Zeitnahe Information an die Kämmerei über neu </w:t>
      </w:r>
      <w:r w:rsidR="0067360D">
        <w:t>entdeckte steuerliche Haushaltsrisiken ab definierten Gewichtsgrenzen</w:t>
      </w:r>
    </w:p>
    <w:p w:rsidR="0067360D" w:rsidRDefault="0067360D" w:rsidP="0067360D">
      <w:pPr>
        <w:pStyle w:val="Listenabsatz"/>
        <w:spacing w:line="360" w:lineRule="auto"/>
        <w:ind w:left="1440"/>
      </w:pPr>
    </w:p>
    <w:p w:rsidR="0067360D" w:rsidRPr="00702B46" w:rsidRDefault="0067360D" w:rsidP="0067360D">
      <w:pPr>
        <w:pStyle w:val="Listenabsatz"/>
        <w:numPr>
          <w:ilvl w:val="0"/>
          <w:numId w:val="2"/>
        </w:numPr>
        <w:spacing w:line="360" w:lineRule="auto"/>
        <w:rPr>
          <w:b/>
          <w:u w:val="single"/>
        </w:rPr>
      </w:pPr>
      <w:r w:rsidRPr="00702B46">
        <w:rPr>
          <w:b/>
          <w:u w:val="single"/>
        </w:rPr>
        <w:lastRenderedPageBreak/>
        <w:t xml:space="preserve">Vermeidung von Reputations- und Imageschäden gegenüber Öffentlichkeit, Finanzverwaltung sowie stadtintern: </w:t>
      </w:r>
    </w:p>
    <w:p w:rsidR="0067360D" w:rsidRDefault="0067360D" w:rsidP="0067360D">
      <w:pPr>
        <w:pStyle w:val="Listenabsatz"/>
        <w:numPr>
          <w:ilvl w:val="1"/>
          <w:numId w:val="2"/>
        </w:numPr>
        <w:spacing w:line="360" w:lineRule="auto"/>
      </w:pPr>
      <w:r>
        <w:t xml:space="preserve">Fristgerechte Einhaltung aller Erklärungspflichten </w:t>
      </w:r>
    </w:p>
    <w:p w:rsidR="0067360D" w:rsidRDefault="0067360D" w:rsidP="0067360D">
      <w:pPr>
        <w:pStyle w:val="Listenabsatz"/>
        <w:numPr>
          <w:ilvl w:val="1"/>
          <w:numId w:val="2"/>
        </w:numPr>
        <w:spacing w:line="360" w:lineRule="auto"/>
      </w:pPr>
      <w:r>
        <w:t xml:space="preserve">Ausreichende Personal- und Sachmittelausstattungen für den Steuerfachdienst </w:t>
      </w:r>
    </w:p>
    <w:p w:rsidR="0067360D" w:rsidRDefault="0067360D" w:rsidP="0067360D">
      <w:pPr>
        <w:pStyle w:val="Listenabsatz"/>
        <w:numPr>
          <w:ilvl w:val="1"/>
          <w:numId w:val="2"/>
        </w:numPr>
        <w:spacing w:line="360" w:lineRule="auto"/>
      </w:pPr>
      <w:r>
        <w:t>Vermeidung der Notwendigkeit für Berichtigungen von Steuererklärungen nach §§ 153, 371 AO</w:t>
      </w:r>
    </w:p>
    <w:p w:rsidR="0067360D" w:rsidRDefault="0067360D" w:rsidP="0067360D">
      <w:pPr>
        <w:pStyle w:val="Listenabsatz"/>
        <w:numPr>
          <w:ilvl w:val="1"/>
          <w:numId w:val="2"/>
        </w:numPr>
        <w:spacing w:line="360" w:lineRule="auto"/>
      </w:pPr>
      <w:r>
        <w:t>Vermeidung von Beanstandungen im Rahmen von Betriebsprüfungen</w:t>
      </w:r>
    </w:p>
    <w:p w:rsidR="0067360D" w:rsidRDefault="0067360D" w:rsidP="0067360D">
      <w:pPr>
        <w:pStyle w:val="Listenabsatz"/>
        <w:spacing w:line="360" w:lineRule="auto"/>
        <w:ind w:left="1440"/>
      </w:pPr>
    </w:p>
    <w:p w:rsidR="0067360D" w:rsidRPr="00702B46" w:rsidRDefault="0067360D" w:rsidP="0067360D">
      <w:pPr>
        <w:pStyle w:val="Listenabsatz"/>
        <w:numPr>
          <w:ilvl w:val="0"/>
          <w:numId w:val="2"/>
        </w:numPr>
        <w:spacing w:line="360" w:lineRule="auto"/>
        <w:rPr>
          <w:b/>
          <w:u w:val="single"/>
        </w:rPr>
      </w:pPr>
      <w:r w:rsidRPr="00702B46">
        <w:rPr>
          <w:b/>
          <w:u w:val="single"/>
        </w:rPr>
        <w:t>Verankerung der Tax Compliance als Führungsthema:</w:t>
      </w:r>
    </w:p>
    <w:p w:rsidR="0067360D" w:rsidRDefault="0067360D" w:rsidP="0067360D">
      <w:pPr>
        <w:pStyle w:val="Listenabsatz"/>
        <w:numPr>
          <w:ilvl w:val="1"/>
          <w:numId w:val="2"/>
        </w:numPr>
        <w:spacing w:line="360" w:lineRule="auto"/>
      </w:pPr>
      <w:r>
        <w:t xml:space="preserve">Regelmäßige Berichterstattung an den Verwaltungsvorstand zum Stand der Umsetzung des TCMS-Projektes </w:t>
      </w:r>
    </w:p>
    <w:p w:rsidR="007624AE" w:rsidRDefault="007624AE" w:rsidP="0067360D">
      <w:pPr>
        <w:pStyle w:val="Listenabsatz"/>
        <w:numPr>
          <w:ilvl w:val="1"/>
          <w:numId w:val="2"/>
        </w:numPr>
        <w:spacing w:line="360" w:lineRule="auto"/>
      </w:pPr>
      <w:r>
        <w:t xml:space="preserve">Verankerung einer kontinuierlichen Befassung des Verwaltungsvorstands mit einem festen Kanon an Steuerthemen </w:t>
      </w:r>
    </w:p>
    <w:p w:rsidR="00A03A30" w:rsidRDefault="00A03A30" w:rsidP="00A03A30">
      <w:pPr>
        <w:pStyle w:val="Listenabsatz"/>
        <w:spacing w:line="360" w:lineRule="auto"/>
        <w:ind w:left="1440"/>
      </w:pPr>
    </w:p>
    <w:p w:rsidR="007624AE" w:rsidRPr="00702B46" w:rsidRDefault="007624AE" w:rsidP="007624AE">
      <w:pPr>
        <w:pStyle w:val="Listenabsatz"/>
        <w:numPr>
          <w:ilvl w:val="0"/>
          <w:numId w:val="2"/>
        </w:numPr>
        <w:spacing w:line="360" w:lineRule="auto"/>
        <w:rPr>
          <w:b/>
          <w:u w:val="single"/>
        </w:rPr>
      </w:pPr>
      <w:r w:rsidRPr="00702B46">
        <w:rPr>
          <w:b/>
          <w:u w:val="single"/>
        </w:rPr>
        <w:t>Vermeidung von Organisationsversagen:</w:t>
      </w:r>
    </w:p>
    <w:p w:rsidR="007624AE" w:rsidRDefault="007624AE" w:rsidP="007624AE">
      <w:pPr>
        <w:pStyle w:val="Listenabsatz"/>
        <w:numPr>
          <w:ilvl w:val="1"/>
          <w:numId w:val="2"/>
        </w:numPr>
        <w:spacing w:line="360" w:lineRule="auto"/>
      </w:pPr>
      <w:r>
        <w:t>Einrichtung und Fortentwicklung eines angemessenen TCMS, das perspektivisch den Prüfkriterien des Entwurfs für den „IDW-Praxishinweis 1/2016: Ausgestaltung und Prüfung eines Tax CMS gem. PS 980“ sowie ggf. zukünftigen Weiterentwicklungen des Standards gerecht wird</w:t>
      </w:r>
    </w:p>
    <w:p w:rsidR="007624AE" w:rsidRDefault="007624AE" w:rsidP="007624AE">
      <w:pPr>
        <w:pStyle w:val="Listenabsatz"/>
        <w:numPr>
          <w:ilvl w:val="1"/>
          <w:numId w:val="2"/>
        </w:numPr>
        <w:spacing w:line="360" w:lineRule="auto"/>
      </w:pPr>
      <w:r>
        <w:t>Einrichtung eines unabhängigen Monitorings für das TCMS</w:t>
      </w:r>
    </w:p>
    <w:p w:rsidR="007624AE" w:rsidRDefault="00A03A30" w:rsidP="007624AE">
      <w:pPr>
        <w:pStyle w:val="Listenabsatz"/>
        <w:numPr>
          <w:ilvl w:val="1"/>
          <w:numId w:val="2"/>
        </w:numPr>
        <w:spacing w:line="360" w:lineRule="auto"/>
      </w:pPr>
      <w:r>
        <w:t>Perspektivisch: Zertifizierung des eingerichteten TCMS</w:t>
      </w:r>
    </w:p>
    <w:p w:rsidR="00C5594C" w:rsidRDefault="00C5594C" w:rsidP="00C5594C">
      <w:pPr>
        <w:pStyle w:val="Listenabsatz"/>
        <w:spacing w:line="360" w:lineRule="auto"/>
        <w:ind w:left="1440"/>
      </w:pPr>
    </w:p>
    <w:p w:rsidR="00A03A30" w:rsidRPr="00702B46" w:rsidRDefault="00A03A30" w:rsidP="00A03A30">
      <w:pPr>
        <w:pStyle w:val="Listenabsatz"/>
        <w:numPr>
          <w:ilvl w:val="0"/>
          <w:numId w:val="2"/>
        </w:numPr>
        <w:spacing w:line="360" w:lineRule="auto"/>
        <w:rPr>
          <w:b/>
          <w:u w:val="single"/>
        </w:rPr>
      </w:pPr>
      <w:r w:rsidRPr="00702B46">
        <w:rPr>
          <w:b/>
          <w:u w:val="single"/>
        </w:rPr>
        <w:t>Vermeidung von Haftungsrisiken für Mitarbeiter:</w:t>
      </w:r>
    </w:p>
    <w:p w:rsidR="00A03A30" w:rsidRDefault="00A03A30" w:rsidP="00A03A30">
      <w:pPr>
        <w:pStyle w:val="Listenabsatz"/>
        <w:numPr>
          <w:ilvl w:val="1"/>
          <w:numId w:val="2"/>
        </w:numPr>
        <w:spacing w:line="360" w:lineRule="auto"/>
      </w:pPr>
      <w:r>
        <w:t>Vermeidung der Notwendigkeit für Berichtigungen von Steuererklärungen nach §§ 153, 371 AO</w:t>
      </w:r>
    </w:p>
    <w:p w:rsidR="00A03A30" w:rsidRDefault="00A03A30" w:rsidP="00A03A30">
      <w:pPr>
        <w:pStyle w:val="Listenabsatz"/>
        <w:numPr>
          <w:ilvl w:val="1"/>
          <w:numId w:val="2"/>
        </w:numPr>
        <w:spacing w:line="360" w:lineRule="auto"/>
      </w:pPr>
      <w:r>
        <w:t xml:space="preserve">Vermeidung von Beanstandung im Rahmen von Betriebsprüfungen </w:t>
      </w:r>
    </w:p>
    <w:p w:rsidR="00C5594C" w:rsidRDefault="00C5594C" w:rsidP="00C5594C">
      <w:pPr>
        <w:pStyle w:val="Listenabsatz"/>
        <w:spacing w:line="360" w:lineRule="auto"/>
        <w:ind w:left="1440"/>
      </w:pPr>
    </w:p>
    <w:p w:rsidR="00A03A30" w:rsidRPr="00702B46" w:rsidRDefault="00A03A30" w:rsidP="00A03A30">
      <w:pPr>
        <w:pStyle w:val="Listenabsatz"/>
        <w:numPr>
          <w:ilvl w:val="0"/>
          <w:numId w:val="2"/>
        </w:numPr>
        <w:spacing w:line="360" w:lineRule="auto"/>
        <w:rPr>
          <w:b/>
          <w:u w:val="single"/>
        </w:rPr>
      </w:pPr>
      <w:r w:rsidRPr="00702B46">
        <w:rPr>
          <w:b/>
          <w:u w:val="single"/>
        </w:rPr>
        <w:lastRenderedPageBreak/>
        <w:t>Mitarbeitersensibilisierung für Tax Compliance</w:t>
      </w:r>
      <w:r w:rsidR="00C5594C" w:rsidRPr="00702B46">
        <w:rPr>
          <w:b/>
          <w:u w:val="single"/>
        </w:rPr>
        <w:t>:</w:t>
      </w:r>
      <w:r w:rsidRPr="00702B46">
        <w:rPr>
          <w:b/>
          <w:u w:val="single"/>
        </w:rPr>
        <w:t xml:space="preserve"> </w:t>
      </w:r>
    </w:p>
    <w:p w:rsidR="00A03A30" w:rsidRDefault="00A03A30" w:rsidP="00A03A30">
      <w:pPr>
        <w:pStyle w:val="Listenabsatz"/>
        <w:numPr>
          <w:ilvl w:val="1"/>
          <w:numId w:val="2"/>
        </w:numPr>
        <w:spacing w:line="360" w:lineRule="auto"/>
      </w:pPr>
      <w:r>
        <w:t xml:space="preserve">Identifikation aller für den Steuererklärungsprozess relevanten Mitarbeiter </w:t>
      </w:r>
    </w:p>
    <w:p w:rsidR="00A03A30" w:rsidRDefault="00A03A30" w:rsidP="00A03A30">
      <w:pPr>
        <w:pStyle w:val="Listenabsatz"/>
        <w:numPr>
          <w:ilvl w:val="1"/>
          <w:numId w:val="2"/>
        </w:numPr>
        <w:spacing w:line="360" w:lineRule="auto"/>
      </w:pPr>
      <w:r>
        <w:t>Erstellung von Risikoanalysen für die betreffenden Mitarbeiter</w:t>
      </w:r>
    </w:p>
    <w:p w:rsidR="00A03A30" w:rsidRDefault="008B2468" w:rsidP="00A03A30">
      <w:pPr>
        <w:pStyle w:val="Listenabsatz"/>
        <w:numPr>
          <w:ilvl w:val="1"/>
          <w:numId w:val="2"/>
        </w:numPr>
        <w:spacing w:line="360" w:lineRule="auto"/>
      </w:pPr>
      <w:r>
        <w:t xml:space="preserve">Bedarfsanalyse zur Bereitstellung passgenauer Informationen und Bildungsangeboten für die betreffenden Mitarbeiter </w:t>
      </w:r>
    </w:p>
    <w:p w:rsidR="008B2468" w:rsidRDefault="008B2468" w:rsidP="00A03A30">
      <w:pPr>
        <w:pStyle w:val="Listenabsatz"/>
        <w:numPr>
          <w:ilvl w:val="1"/>
          <w:numId w:val="2"/>
        </w:numPr>
        <w:spacing w:line="360" w:lineRule="auto"/>
      </w:pPr>
      <w:r>
        <w:t xml:space="preserve">Regelmäßige </w:t>
      </w:r>
      <w:r w:rsidR="00C5594C">
        <w:t xml:space="preserve">Erinnerungen an die zu beachtenden Hinweise bzw. Einrichtung von Prüfverfahren, ob die Hinweise bekannt sind </w:t>
      </w:r>
    </w:p>
    <w:p w:rsidR="00C5594C" w:rsidRDefault="00C5594C" w:rsidP="00C5594C">
      <w:pPr>
        <w:pStyle w:val="Listenabsatz"/>
        <w:spacing w:line="360" w:lineRule="auto"/>
        <w:ind w:left="1440"/>
      </w:pPr>
    </w:p>
    <w:p w:rsidR="00C5594C" w:rsidRPr="00702B46" w:rsidRDefault="00C5594C" w:rsidP="00C5594C">
      <w:pPr>
        <w:pStyle w:val="Listenabsatz"/>
        <w:numPr>
          <w:ilvl w:val="0"/>
          <w:numId w:val="2"/>
        </w:numPr>
        <w:spacing w:line="360" w:lineRule="auto"/>
        <w:rPr>
          <w:b/>
          <w:u w:val="single"/>
        </w:rPr>
      </w:pPr>
      <w:r w:rsidRPr="00702B46">
        <w:rPr>
          <w:b/>
          <w:u w:val="single"/>
        </w:rPr>
        <w:t>Risikovermeidung bzw. Reputationsgewinn durch Schaffung interner und externer Transparenz sowie effektiver Organisationsstrukturen:</w:t>
      </w:r>
    </w:p>
    <w:p w:rsidR="00C5594C" w:rsidRDefault="00C5594C" w:rsidP="00C5594C">
      <w:pPr>
        <w:pStyle w:val="Listenabsatz"/>
        <w:numPr>
          <w:ilvl w:val="1"/>
          <w:numId w:val="2"/>
        </w:numPr>
        <w:spacing w:line="360" w:lineRule="auto"/>
      </w:pPr>
      <w:r>
        <w:t>Einrichtung und Fortentwicklung eines TCMS, das perspektivisch den vorgenannten Prüfkriterien der IDW-Hinweise sowie ggf. zukünftigen Weiterentwicklungen des Standards gerecht wird</w:t>
      </w:r>
    </w:p>
    <w:p w:rsidR="00C5594C" w:rsidRDefault="00C5594C" w:rsidP="00C5594C">
      <w:pPr>
        <w:pStyle w:val="Listenabsatz"/>
        <w:numPr>
          <w:ilvl w:val="1"/>
          <w:numId w:val="2"/>
        </w:numPr>
        <w:spacing w:line="360" w:lineRule="auto"/>
      </w:pPr>
      <w:r>
        <w:t xml:space="preserve">Aufbau einer unabhängigen Kontrollstruktur für das TCMS </w:t>
      </w:r>
    </w:p>
    <w:p w:rsidR="00C5594C" w:rsidRDefault="00C5594C" w:rsidP="00C5594C">
      <w:pPr>
        <w:pStyle w:val="Listenabsatz"/>
        <w:numPr>
          <w:ilvl w:val="1"/>
          <w:numId w:val="2"/>
        </w:numPr>
        <w:spacing w:line="360" w:lineRule="auto"/>
      </w:pPr>
      <w:r>
        <w:t xml:space="preserve">Perspektivisch: Nutzung bestehender Vertragsdatenbanken bzw. eines Systems von fachbezogenen Einzeldatenbanken als Grundlage für eine Erfüllung der Steuerpflichten insbesondere im Bereich der Umsatzsteuer </w:t>
      </w:r>
    </w:p>
    <w:p w:rsidR="00C5594C" w:rsidRDefault="00C5594C" w:rsidP="00C5594C">
      <w:pPr>
        <w:pStyle w:val="Listenabsatz"/>
        <w:numPr>
          <w:ilvl w:val="1"/>
          <w:numId w:val="2"/>
        </w:numPr>
        <w:spacing w:line="360" w:lineRule="auto"/>
      </w:pPr>
      <w:r>
        <w:t>Verbreitung des Vier-Augen-Prinzips bei steuerlichen Beurteilungsvorgängen, die anfällig für die Gefahr von Fehlbeurteilungen erscheinen</w:t>
      </w:r>
    </w:p>
    <w:p w:rsidR="00702B46" w:rsidRDefault="00702B46" w:rsidP="00702B46">
      <w:pPr>
        <w:spacing w:line="360" w:lineRule="auto"/>
      </w:pPr>
    </w:p>
    <w:p w:rsidR="00702B46" w:rsidRDefault="00702B46" w:rsidP="00702B46">
      <w:pPr>
        <w:spacing w:line="360" w:lineRule="auto"/>
      </w:pPr>
    </w:p>
    <w:p w:rsidR="00702B46" w:rsidRDefault="00702B46" w:rsidP="00702B46">
      <w:pPr>
        <w:spacing w:line="360" w:lineRule="auto"/>
      </w:pPr>
    </w:p>
    <w:p w:rsidR="00702B46" w:rsidRDefault="00702B46" w:rsidP="00702B46">
      <w:pPr>
        <w:spacing w:line="360" w:lineRule="auto"/>
      </w:pPr>
    </w:p>
    <w:p w:rsidR="00702B46" w:rsidRDefault="00702B46" w:rsidP="00702B46">
      <w:pPr>
        <w:pStyle w:val="berschrift1"/>
      </w:pPr>
      <w:r>
        <w:lastRenderedPageBreak/>
        <w:t xml:space="preserve">Organisation: Wie sind der Aufbau und der Ablauf des Compliance eingerichtet? </w:t>
      </w:r>
    </w:p>
    <w:p w:rsidR="00702B46" w:rsidRDefault="00702B46" w:rsidP="00702B46">
      <w:pPr>
        <w:spacing w:line="360" w:lineRule="auto"/>
      </w:pPr>
    </w:p>
    <w:p w:rsidR="00441EB8" w:rsidRDefault="00441EB8" w:rsidP="00702B46">
      <w:pPr>
        <w:spacing w:line="360" w:lineRule="auto"/>
      </w:pPr>
      <w:r>
        <w:t xml:space="preserve">Ein unverzichtbares TCMS-Element sind </w:t>
      </w:r>
      <w:r w:rsidRPr="000B5267">
        <w:rPr>
          <w:b/>
        </w:rPr>
        <w:t>klare Organisationsrichtlinien</w:t>
      </w:r>
      <w:r>
        <w:t xml:space="preserve">, die den steuerlich relevanten Informationsfluss in der Verwaltung sowie die Verteilung der damit im Zusammenhang stehenden Verantwortlichkeiten innerhalb der Stadt und ihrer Untergliederungen regeln. </w:t>
      </w:r>
    </w:p>
    <w:p w:rsidR="00441EB8" w:rsidRDefault="00441EB8" w:rsidP="00702B46">
      <w:pPr>
        <w:spacing w:line="360" w:lineRule="auto"/>
      </w:pPr>
      <w:r>
        <w:t>Im Einzelnen sollte der zu schaffende „</w:t>
      </w:r>
      <w:r w:rsidRPr="005D7DB5">
        <w:rPr>
          <w:b/>
        </w:rPr>
        <w:t>TC Organisationsplan</w:t>
      </w:r>
      <w:r>
        <w:t xml:space="preserve">“ insbesondere die folgenden kritischen Punkte regeln: </w:t>
      </w:r>
    </w:p>
    <w:p w:rsidR="00441EB8" w:rsidRDefault="00441EB8" w:rsidP="00441EB8">
      <w:pPr>
        <w:pStyle w:val="Listenabsatz"/>
        <w:numPr>
          <w:ilvl w:val="0"/>
          <w:numId w:val="3"/>
        </w:numPr>
        <w:spacing w:line="360" w:lineRule="auto"/>
      </w:pPr>
      <w:r>
        <w:t>Verteilung von Verantwortlichkeiten</w:t>
      </w:r>
    </w:p>
    <w:p w:rsidR="00441EB8" w:rsidRDefault="00441EB8" w:rsidP="00441EB8">
      <w:pPr>
        <w:pStyle w:val="Listenabsatz"/>
        <w:numPr>
          <w:ilvl w:val="0"/>
          <w:numId w:val="3"/>
        </w:numPr>
        <w:spacing w:line="360" w:lineRule="auto"/>
      </w:pPr>
      <w:r>
        <w:t xml:space="preserve">Verteilung von Zuständigkeiten </w:t>
      </w:r>
    </w:p>
    <w:p w:rsidR="00441EB8" w:rsidRDefault="00441EB8" w:rsidP="00441EB8">
      <w:pPr>
        <w:pStyle w:val="Listenabsatz"/>
        <w:numPr>
          <w:ilvl w:val="0"/>
          <w:numId w:val="3"/>
        </w:numPr>
        <w:spacing w:line="360" w:lineRule="auto"/>
      </w:pPr>
      <w:r>
        <w:t xml:space="preserve">Schnittstellenorganisation </w:t>
      </w:r>
    </w:p>
    <w:p w:rsidR="00441EB8" w:rsidRDefault="00441EB8" w:rsidP="00441EB8">
      <w:pPr>
        <w:pStyle w:val="Listenabsatz"/>
        <w:numPr>
          <w:ilvl w:val="0"/>
          <w:numId w:val="3"/>
        </w:numPr>
        <w:spacing w:line="360" w:lineRule="auto"/>
      </w:pPr>
      <w:r>
        <w:t xml:space="preserve">Vertretungsregelungen </w:t>
      </w:r>
    </w:p>
    <w:p w:rsidR="00441EB8" w:rsidRDefault="00441EB8" w:rsidP="00441EB8">
      <w:pPr>
        <w:pStyle w:val="Listenabsatz"/>
        <w:numPr>
          <w:ilvl w:val="0"/>
          <w:numId w:val="3"/>
        </w:numPr>
        <w:spacing w:line="360" w:lineRule="auto"/>
      </w:pPr>
      <w:r>
        <w:t xml:space="preserve">Datenschutzrechtliche Prüfung der Organisationsstruktur </w:t>
      </w:r>
    </w:p>
    <w:p w:rsidR="000B5267" w:rsidRDefault="00441EB8" w:rsidP="00441EB8">
      <w:pPr>
        <w:spacing w:line="360" w:lineRule="auto"/>
      </w:pPr>
      <w:r>
        <w:t xml:space="preserve">Im Rahmen der Organisationsplanung sind auch die bestehenden </w:t>
      </w:r>
      <w:r w:rsidRPr="005D7DB5">
        <w:rPr>
          <w:b/>
        </w:rPr>
        <w:t>Funktionstrennungen und –bündelungen</w:t>
      </w:r>
      <w:r>
        <w:t xml:space="preserve"> sowie die vorhandenen </w:t>
      </w:r>
      <w:r w:rsidRPr="005D7DB5">
        <w:rPr>
          <w:b/>
        </w:rPr>
        <w:t xml:space="preserve">Berichtigungskonzepte </w:t>
      </w:r>
      <w:r>
        <w:t xml:space="preserve">neu </w:t>
      </w:r>
      <w:r w:rsidR="000B5267">
        <w:t xml:space="preserve">zu </w:t>
      </w:r>
      <w:r w:rsidR="000B5267" w:rsidRPr="005D7DB5">
        <w:rPr>
          <w:b/>
        </w:rPr>
        <w:t>hinterfragen</w:t>
      </w:r>
      <w:r w:rsidR="000B5267">
        <w:t>, Unterschriftsregelungen sind zu treffen und Dokumentationsanweisungen zu erstellen.</w:t>
      </w:r>
    </w:p>
    <w:p w:rsidR="00441EB8" w:rsidRDefault="000B5267" w:rsidP="00441EB8">
      <w:pPr>
        <w:spacing w:line="360" w:lineRule="auto"/>
      </w:pPr>
      <w:r>
        <w:t xml:space="preserve">Es hat sich zudem als förderlich erwiesen, die </w:t>
      </w:r>
      <w:r w:rsidRPr="005D7DB5">
        <w:rPr>
          <w:b/>
        </w:rPr>
        <w:t>entsprechenden Regularien</w:t>
      </w:r>
      <w:r>
        <w:t xml:space="preserve"> zu den Verantwortlichkeiten ergänzend auch direkt in die allgemeinen </w:t>
      </w:r>
      <w:r w:rsidRPr="005D7DB5">
        <w:rPr>
          <w:b/>
        </w:rPr>
        <w:t>organisatorischen Regelungswerke</w:t>
      </w:r>
      <w:r>
        <w:t xml:space="preserve"> der Städte (z.B. Orga-Handbücher) </w:t>
      </w:r>
      <w:r w:rsidRPr="005D7DB5">
        <w:rPr>
          <w:b/>
        </w:rPr>
        <w:t>aufzunehmen</w:t>
      </w:r>
      <w:r>
        <w:t xml:space="preserve">. </w:t>
      </w:r>
      <w:r w:rsidR="00441EB8">
        <w:t xml:space="preserve"> </w:t>
      </w:r>
    </w:p>
    <w:p w:rsidR="00F94BDF" w:rsidRDefault="00F94BDF" w:rsidP="00F94BDF">
      <w:pPr>
        <w:pStyle w:val="berschrift1"/>
      </w:pPr>
      <w:r>
        <w:t>Risiko: Wie ist das Risikomanagement organisiert?</w:t>
      </w:r>
    </w:p>
    <w:p w:rsidR="00F94BDF" w:rsidRDefault="00F94BDF" w:rsidP="00C5594C">
      <w:pPr>
        <w:spacing w:line="360" w:lineRule="auto"/>
      </w:pPr>
    </w:p>
    <w:p w:rsidR="00C5594C" w:rsidRDefault="00702B46" w:rsidP="00C5594C">
      <w:pPr>
        <w:spacing w:line="360" w:lineRule="auto"/>
      </w:pPr>
      <w:r>
        <w:t xml:space="preserve">Die vorhandenen Risiken sind in einer entsprechenden Matrix aufzulisten: </w:t>
      </w:r>
    </w:p>
    <w:p w:rsidR="00702B46" w:rsidRPr="00702B46" w:rsidRDefault="00702B46" w:rsidP="00702B46">
      <w:pPr>
        <w:spacing w:line="276" w:lineRule="auto"/>
        <w:jc w:val="both"/>
        <w:rPr>
          <w:b/>
          <w:color w:val="2E74B5" w:themeColor="accent1" w:themeShade="BF"/>
          <w:u w:val="single"/>
        </w:rPr>
      </w:pPr>
      <w:r w:rsidRPr="00702B46">
        <w:rPr>
          <w:b/>
          <w:color w:val="2E74B5" w:themeColor="accent1" w:themeShade="BF"/>
          <w:u w:val="single"/>
        </w:rPr>
        <w:t>Umsatzsteuer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4"/>
        <w:gridCol w:w="1864"/>
        <w:gridCol w:w="1663"/>
        <w:gridCol w:w="1803"/>
        <w:gridCol w:w="1708"/>
      </w:tblGrid>
      <w:tr w:rsidR="00702B46" w:rsidTr="00590D15">
        <w:tc>
          <w:tcPr>
            <w:tcW w:w="1526" w:type="dxa"/>
            <w:shd w:val="clear" w:color="auto" w:fill="auto"/>
          </w:tcPr>
          <w:p w:rsidR="00702B46" w:rsidRPr="000F1C5C" w:rsidRDefault="00702B46" w:rsidP="00590D15">
            <w:pPr>
              <w:spacing w:line="276" w:lineRule="auto"/>
              <w:rPr>
                <w:b/>
              </w:rPr>
            </w:pPr>
            <w:r w:rsidRPr="000F1C5C">
              <w:rPr>
                <w:b/>
              </w:rPr>
              <w:lastRenderedPageBreak/>
              <w:t>Zuständigkeiten</w:t>
            </w:r>
          </w:p>
        </w:tc>
        <w:tc>
          <w:tcPr>
            <w:tcW w:w="1994" w:type="dxa"/>
            <w:shd w:val="clear" w:color="auto" w:fill="auto"/>
          </w:tcPr>
          <w:p w:rsidR="00702B46" w:rsidRPr="000F1C5C" w:rsidRDefault="00702B46" w:rsidP="00590D15">
            <w:pPr>
              <w:spacing w:line="276" w:lineRule="auto"/>
              <w:rPr>
                <w:b/>
              </w:rPr>
            </w:pPr>
            <w:r w:rsidRPr="000F1C5C">
              <w:rPr>
                <w:b/>
              </w:rPr>
              <w:t>Ablauf innerhalb der Organisation</w:t>
            </w:r>
          </w:p>
        </w:tc>
        <w:tc>
          <w:tcPr>
            <w:tcW w:w="1981" w:type="dxa"/>
            <w:shd w:val="clear" w:color="auto" w:fill="auto"/>
          </w:tcPr>
          <w:p w:rsidR="00702B46" w:rsidRPr="000F1C5C" w:rsidRDefault="00702B46" w:rsidP="00590D15">
            <w:pPr>
              <w:spacing w:line="276" w:lineRule="auto"/>
              <w:rPr>
                <w:b/>
              </w:rPr>
            </w:pPr>
            <w:r w:rsidRPr="000F1C5C">
              <w:rPr>
                <w:b/>
              </w:rPr>
              <w:t>Ablauf außerhalb der Organisation</w:t>
            </w:r>
          </w:p>
        </w:tc>
        <w:tc>
          <w:tcPr>
            <w:tcW w:w="1883" w:type="dxa"/>
            <w:shd w:val="clear" w:color="auto" w:fill="auto"/>
          </w:tcPr>
          <w:p w:rsidR="00702B46" w:rsidRPr="000F1C5C" w:rsidRDefault="00702B46" w:rsidP="00590D15">
            <w:pPr>
              <w:spacing w:line="276" w:lineRule="auto"/>
              <w:rPr>
                <w:b/>
              </w:rPr>
            </w:pPr>
            <w:r w:rsidRPr="000F1C5C">
              <w:rPr>
                <w:b/>
              </w:rPr>
              <w:t>Rückkopplung</w:t>
            </w:r>
          </w:p>
        </w:tc>
        <w:tc>
          <w:tcPr>
            <w:tcW w:w="1904" w:type="dxa"/>
            <w:shd w:val="clear" w:color="auto" w:fill="auto"/>
          </w:tcPr>
          <w:p w:rsidR="00702B46" w:rsidRPr="000F1C5C" w:rsidRDefault="00702B46" w:rsidP="00590D15">
            <w:pPr>
              <w:spacing w:line="276" w:lineRule="auto"/>
              <w:rPr>
                <w:b/>
              </w:rPr>
            </w:pPr>
            <w:r w:rsidRPr="000F1C5C">
              <w:rPr>
                <w:b/>
              </w:rPr>
              <w:t>Risiken</w:t>
            </w:r>
          </w:p>
        </w:tc>
      </w:tr>
      <w:tr w:rsidR="00702B46" w:rsidTr="00590D15">
        <w:tc>
          <w:tcPr>
            <w:tcW w:w="1526" w:type="dxa"/>
            <w:shd w:val="clear" w:color="auto" w:fill="auto"/>
          </w:tcPr>
          <w:p w:rsidR="00702B46" w:rsidRDefault="00702B46" w:rsidP="00590D15">
            <w:pPr>
              <w:spacing w:line="276" w:lineRule="auto"/>
            </w:pPr>
            <w:r>
              <w:t>Amt 20</w:t>
            </w:r>
          </w:p>
        </w:tc>
        <w:tc>
          <w:tcPr>
            <w:tcW w:w="1994" w:type="dxa"/>
            <w:shd w:val="clear" w:color="auto" w:fill="auto"/>
          </w:tcPr>
          <w:p w:rsidR="00702B46" w:rsidRDefault="00702B46" w:rsidP="00590D15">
            <w:pPr>
              <w:spacing w:line="276" w:lineRule="auto"/>
            </w:pPr>
            <w:r>
              <w:t>Umstellung auf §2b</w:t>
            </w:r>
          </w:p>
        </w:tc>
        <w:tc>
          <w:tcPr>
            <w:tcW w:w="1981" w:type="dxa"/>
            <w:shd w:val="clear" w:color="auto" w:fill="auto"/>
          </w:tcPr>
          <w:p w:rsidR="00702B46" w:rsidRDefault="00702B46" w:rsidP="00590D15">
            <w:pPr>
              <w:spacing w:line="276" w:lineRule="auto"/>
            </w:pPr>
            <w:r>
              <w:t>Begleitung durch Externes Fachbüro</w:t>
            </w:r>
          </w:p>
        </w:tc>
        <w:tc>
          <w:tcPr>
            <w:tcW w:w="1883" w:type="dxa"/>
            <w:shd w:val="clear" w:color="auto" w:fill="auto"/>
          </w:tcPr>
          <w:p w:rsidR="00702B46" w:rsidRDefault="00702B46" w:rsidP="00590D15">
            <w:pPr>
              <w:spacing w:line="276" w:lineRule="auto"/>
            </w:pPr>
            <w:r>
              <w:t>Drei Workshops</w:t>
            </w:r>
          </w:p>
        </w:tc>
        <w:tc>
          <w:tcPr>
            <w:tcW w:w="1904" w:type="dxa"/>
            <w:shd w:val="clear" w:color="auto" w:fill="auto"/>
          </w:tcPr>
          <w:p w:rsidR="00702B46" w:rsidRDefault="00702B46" w:rsidP="00590D15">
            <w:pPr>
              <w:spacing w:line="276" w:lineRule="auto"/>
            </w:pPr>
            <w:r>
              <w:t xml:space="preserve">Zeitlicher Faktor (gesetzliche Fristen) </w:t>
            </w:r>
          </w:p>
        </w:tc>
      </w:tr>
      <w:tr w:rsidR="00702B46" w:rsidTr="00590D15">
        <w:tc>
          <w:tcPr>
            <w:tcW w:w="1526" w:type="dxa"/>
            <w:shd w:val="clear" w:color="auto" w:fill="auto"/>
          </w:tcPr>
          <w:p w:rsidR="00702B46" w:rsidRDefault="00702B46" w:rsidP="00590D15">
            <w:pPr>
              <w:spacing w:line="276" w:lineRule="auto"/>
            </w:pPr>
            <w:r>
              <w:t>Amt 20 in Kombination mit den Fachämtern</w:t>
            </w:r>
          </w:p>
        </w:tc>
        <w:tc>
          <w:tcPr>
            <w:tcW w:w="1994" w:type="dxa"/>
            <w:shd w:val="clear" w:color="auto" w:fill="auto"/>
          </w:tcPr>
          <w:p w:rsidR="00702B46" w:rsidRDefault="00702B46" w:rsidP="00590D15">
            <w:pPr>
              <w:spacing w:line="276" w:lineRule="auto"/>
            </w:pPr>
            <w:r>
              <w:t>Erarbeitung durch Amt 20</w:t>
            </w:r>
          </w:p>
        </w:tc>
        <w:tc>
          <w:tcPr>
            <w:tcW w:w="1981" w:type="dxa"/>
            <w:shd w:val="clear" w:color="auto" w:fill="auto"/>
          </w:tcPr>
          <w:p w:rsidR="00702B46" w:rsidRDefault="00702B46" w:rsidP="00590D15">
            <w:pPr>
              <w:spacing w:line="276" w:lineRule="auto"/>
            </w:pPr>
            <w:r>
              <w:t>Begleitung durch Externes Fachbüro</w:t>
            </w:r>
          </w:p>
        </w:tc>
        <w:tc>
          <w:tcPr>
            <w:tcW w:w="1883" w:type="dxa"/>
            <w:shd w:val="clear" w:color="auto" w:fill="auto"/>
          </w:tcPr>
          <w:p w:rsidR="00702B46" w:rsidRDefault="00702B46" w:rsidP="00590D15">
            <w:pPr>
              <w:spacing w:line="276" w:lineRule="auto"/>
            </w:pPr>
            <w:r>
              <w:t>Keine Rückkopplung mit den Fachämtern</w:t>
            </w:r>
          </w:p>
        </w:tc>
        <w:tc>
          <w:tcPr>
            <w:tcW w:w="1904" w:type="dxa"/>
            <w:shd w:val="clear" w:color="auto" w:fill="auto"/>
          </w:tcPr>
          <w:p w:rsidR="00702B46" w:rsidRDefault="00702B46" w:rsidP="00590D15">
            <w:pPr>
              <w:spacing w:line="276" w:lineRule="auto"/>
            </w:pPr>
            <w:r>
              <w:t>Zu wenig Transparenz für dauerhafte Umsetzung</w:t>
            </w:r>
          </w:p>
        </w:tc>
      </w:tr>
      <w:tr w:rsidR="00702B46" w:rsidTr="00590D15">
        <w:tc>
          <w:tcPr>
            <w:tcW w:w="1526" w:type="dxa"/>
            <w:shd w:val="clear" w:color="auto" w:fill="auto"/>
          </w:tcPr>
          <w:p w:rsidR="00702B46" w:rsidRDefault="00702B46" w:rsidP="00590D15">
            <w:pPr>
              <w:spacing w:line="276" w:lineRule="auto"/>
            </w:pPr>
            <w:r>
              <w:t>Amt 20/Kämmerin</w:t>
            </w:r>
          </w:p>
        </w:tc>
        <w:tc>
          <w:tcPr>
            <w:tcW w:w="1994" w:type="dxa"/>
            <w:shd w:val="clear" w:color="auto" w:fill="auto"/>
          </w:tcPr>
          <w:p w:rsidR="00702B46" w:rsidRDefault="00702B46" w:rsidP="00590D15">
            <w:pPr>
              <w:spacing w:line="276" w:lineRule="auto"/>
            </w:pPr>
            <w:r>
              <w:t>Erarbeitung in Amt 20 zur Ermittlung haushalterischer Auswirkungen</w:t>
            </w:r>
          </w:p>
        </w:tc>
        <w:tc>
          <w:tcPr>
            <w:tcW w:w="1981" w:type="dxa"/>
            <w:shd w:val="clear" w:color="auto" w:fill="auto"/>
          </w:tcPr>
          <w:p w:rsidR="00702B46" w:rsidRDefault="00702B46" w:rsidP="00590D15">
            <w:pPr>
              <w:spacing w:line="276" w:lineRule="auto"/>
            </w:pPr>
            <w:r>
              <w:t>Keine</w:t>
            </w:r>
          </w:p>
        </w:tc>
        <w:tc>
          <w:tcPr>
            <w:tcW w:w="1883" w:type="dxa"/>
            <w:shd w:val="clear" w:color="auto" w:fill="auto"/>
          </w:tcPr>
          <w:p w:rsidR="00702B46" w:rsidRDefault="00702B46" w:rsidP="00590D15">
            <w:pPr>
              <w:spacing w:line="276" w:lineRule="auto"/>
            </w:pPr>
            <w:r>
              <w:t>Nur innerhalb des Amtes, derzeit Keine Rückkopplung mit den Fachämtern</w:t>
            </w:r>
          </w:p>
        </w:tc>
        <w:tc>
          <w:tcPr>
            <w:tcW w:w="1904" w:type="dxa"/>
            <w:shd w:val="clear" w:color="auto" w:fill="auto"/>
          </w:tcPr>
          <w:p w:rsidR="00702B46" w:rsidRDefault="00702B46" w:rsidP="00590D15">
            <w:pPr>
              <w:spacing w:line="276" w:lineRule="auto"/>
            </w:pPr>
            <w:r>
              <w:t>Fehlende Perspektive der steuerbaren Aspekte, die Synergien im Haushalt erzeugen könnten</w:t>
            </w:r>
          </w:p>
        </w:tc>
      </w:tr>
      <w:tr w:rsidR="00702B46" w:rsidTr="00590D15">
        <w:tc>
          <w:tcPr>
            <w:tcW w:w="1526" w:type="dxa"/>
            <w:shd w:val="clear" w:color="auto" w:fill="auto"/>
          </w:tcPr>
          <w:p w:rsidR="00702B46" w:rsidRDefault="00702B46" w:rsidP="00590D15">
            <w:pPr>
              <w:spacing w:line="276" w:lineRule="auto"/>
            </w:pPr>
            <w:r>
              <w:t>Stadtwerke/SEGO mbH</w:t>
            </w:r>
          </w:p>
        </w:tc>
        <w:tc>
          <w:tcPr>
            <w:tcW w:w="1994" w:type="dxa"/>
            <w:shd w:val="clear" w:color="auto" w:fill="auto"/>
          </w:tcPr>
          <w:p w:rsidR="00702B46" w:rsidRDefault="00702B46" w:rsidP="00590D15">
            <w:pPr>
              <w:spacing w:line="276" w:lineRule="auto"/>
            </w:pPr>
            <w:r>
              <w:t>Vorberatung der Steuererklärung innerhalb der Fachfirmen</w:t>
            </w:r>
          </w:p>
        </w:tc>
        <w:tc>
          <w:tcPr>
            <w:tcW w:w="1981" w:type="dxa"/>
            <w:shd w:val="clear" w:color="auto" w:fill="auto"/>
          </w:tcPr>
          <w:p w:rsidR="00702B46" w:rsidRDefault="00702B46" w:rsidP="00590D15">
            <w:pPr>
              <w:spacing w:line="276" w:lineRule="auto"/>
            </w:pPr>
            <w:r>
              <w:t>Weitergabe der Daten an externe Fachfirmen, derzeit dhpg Gummersbach</w:t>
            </w:r>
          </w:p>
        </w:tc>
        <w:tc>
          <w:tcPr>
            <w:tcW w:w="1883" w:type="dxa"/>
            <w:shd w:val="clear" w:color="auto" w:fill="auto"/>
          </w:tcPr>
          <w:p w:rsidR="00702B46" w:rsidRDefault="00702B46" w:rsidP="00590D15">
            <w:pPr>
              <w:spacing w:line="276" w:lineRule="auto"/>
            </w:pPr>
            <w:r>
              <w:t>Keine?</w:t>
            </w:r>
          </w:p>
        </w:tc>
        <w:tc>
          <w:tcPr>
            <w:tcW w:w="1904" w:type="dxa"/>
            <w:shd w:val="clear" w:color="auto" w:fill="auto"/>
          </w:tcPr>
          <w:p w:rsidR="00702B46" w:rsidRDefault="00702B46" w:rsidP="00590D15">
            <w:pPr>
              <w:spacing w:line="276" w:lineRule="auto"/>
            </w:pPr>
            <w:r>
              <w:t>Fehlende Transparenz für den Konzern Stadt Overath, Gefahr der Leichtfertigkeit</w:t>
            </w:r>
          </w:p>
        </w:tc>
      </w:tr>
    </w:tbl>
    <w:p w:rsidR="00702B46" w:rsidRPr="00702B46" w:rsidRDefault="00702B46" w:rsidP="00702B46">
      <w:pPr>
        <w:spacing w:line="276" w:lineRule="auto"/>
        <w:jc w:val="both"/>
        <w:rPr>
          <w:b/>
          <w:color w:val="2E74B5" w:themeColor="accent1" w:themeShade="BF"/>
          <w:u w:val="single"/>
        </w:rPr>
      </w:pPr>
      <w:r w:rsidRPr="00702B46">
        <w:rPr>
          <w:b/>
          <w:color w:val="2E74B5" w:themeColor="accent1" w:themeShade="BF"/>
          <w:u w:val="single"/>
        </w:rPr>
        <w:t>Kapitalertragssteuer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1843"/>
        <w:gridCol w:w="1701"/>
        <w:gridCol w:w="1950"/>
      </w:tblGrid>
      <w:tr w:rsidR="00702B46" w:rsidTr="00590D15">
        <w:tc>
          <w:tcPr>
            <w:tcW w:w="1809" w:type="dxa"/>
            <w:shd w:val="clear" w:color="auto" w:fill="auto"/>
          </w:tcPr>
          <w:p w:rsidR="00702B46" w:rsidRPr="000F1C5C" w:rsidRDefault="00702B46" w:rsidP="00590D15">
            <w:pPr>
              <w:spacing w:line="276" w:lineRule="auto"/>
              <w:rPr>
                <w:b/>
              </w:rPr>
            </w:pPr>
            <w:r w:rsidRPr="000F1C5C">
              <w:rPr>
                <w:b/>
              </w:rPr>
              <w:t>Zuständigkeiten</w:t>
            </w:r>
          </w:p>
        </w:tc>
        <w:tc>
          <w:tcPr>
            <w:tcW w:w="1985" w:type="dxa"/>
            <w:shd w:val="clear" w:color="auto" w:fill="auto"/>
          </w:tcPr>
          <w:p w:rsidR="00702B46" w:rsidRPr="000F1C5C" w:rsidRDefault="00702B46" w:rsidP="00590D15">
            <w:pPr>
              <w:spacing w:line="276" w:lineRule="auto"/>
              <w:rPr>
                <w:b/>
              </w:rPr>
            </w:pPr>
            <w:r w:rsidRPr="000F1C5C">
              <w:rPr>
                <w:b/>
              </w:rPr>
              <w:t>Ablauf                innerhalb der Organisation</w:t>
            </w:r>
          </w:p>
        </w:tc>
        <w:tc>
          <w:tcPr>
            <w:tcW w:w="1843" w:type="dxa"/>
            <w:shd w:val="clear" w:color="auto" w:fill="auto"/>
          </w:tcPr>
          <w:p w:rsidR="00702B46" w:rsidRPr="000F1C5C" w:rsidRDefault="00702B46" w:rsidP="00590D15">
            <w:pPr>
              <w:spacing w:line="276" w:lineRule="auto"/>
              <w:rPr>
                <w:b/>
              </w:rPr>
            </w:pPr>
            <w:r w:rsidRPr="000F1C5C">
              <w:rPr>
                <w:b/>
              </w:rPr>
              <w:t>Ablauf außerhalb der Organisation</w:t>
            </w:r>
          </w:p>
        </w:tc>
        <w:tc>
          <w:tcPr>
            <w:tcW w:w="1701" w:type="dxa"/>
            <w:shd w:val="clear" w:color="auto" w:fill="auto"/>
          </w:tcPr>
          <w:p w:rsidR="00702B46" w:rsidRPr="000F1C5C" w:rsidRDefault="00702B46" w:rsidP="00590D15">
            <w:pPr>
              <w:spacing w:line="276" w:lineRule="auto"/>
              <w:rPr>
                <w:b/>
              </w:rPr>
            </w:pPr>
            <w:r w:rsidRPr="000F1C5C">
              <w:rPr>
                <w:b/>
              </w:rPr>
              <w:t>Rückkopplung</w:t>
            </w:r>
          </w:p>
        </w:tc>
        <w:tc>
          <w:tcPr>
            <w:tcW w:w="1950" w:type="dxa"/>
            <w:shd w:val="clear" w:color="auto" w:fill="auto"/>
          </w:tcPr>
          <w:p w:rsidR="00702B46" w:rsidRPr="000F1C5C" w:rsidRDefault="00702B46" w:rsidP="00590D15">
            <w:pPr>
              <w:spacing w:line="276" w:lineRule="auto"/>
              <w:rPr>
                <w:b/>
              </w:rPr>
            </w:pPr>
            <w:r w:rsidRPr="000F1C5C">
              <w:rPr>
                <w:b/>
              </w:rPr>
              <w:t>Risiken</w:t>
            </w:r>
          </w:p>
        </w:tc>
      </w:tr>
      <w:tr w:rsidR="00702B46" w:rsidTr="00590D15">
        <w:tc>
          <w:tcPr>
            <w:tcW w:w="1809" w:type="dxa"/>
            <w:shd w:val="clear" w:color="auto" w:fill="auto"/>
          </w:tcPr>
          <w:p w:rsidR="00702B46" w:rsidRDefault="00702B46" w:rsidP="00590D15">
            <w:pPr>
              <w:spacing w:line="276" w:lineRule="auto"/>
            </w:pPr>
            <w:r>
              <w:lastRenderedPageBreak/>
              <w:t>Amt 20/Stadtwerke/SEGO mbH</w:t>
            </w:r>
          </w:p>
        </w:tc>
        <w:tc>
          <w:tcPr>
            <w:tcW w:w="1985" w:type="dxa"/>
            <w:shd w:val="clear" w:color="auto" w:fill="auto"/>
          </w:tcPr>
          <w:p w:rsidR="00702B46" w:rsidRDefault="00702B46" w:rsidP="00590D15">
            <w:pPr>
              <w:spacing w:line="276" w:lineRule="auto"/>
            </w:pPr>
            <w:r>
              <w:t>Vorberatung der Steuererklärung innerhalb der Fachämter/ Fachfirmen</w:t>
            </w:r>
          </w:p>
        </w:tc>
        <w:tc>
          <w:tcPr>
            <w:tcW w:w="1843" w:type="dxa"/>
            <w:shd w:val="clear" w:color="auto" w:fill="auto"/>
          </w:tcPr>
          <w:p w:rsidR="00702B46" w:rsidRDefault="00702B46" w:rsidP="00590D15">
            <w:pPr>
              <w:spacing w:line="276" w:lineRule="auto"/>
            </w:pPr>
            <w:r>
              <w:t>Weitergabe der Daten an externe Fachfirmen, derzeit dhpg Gummersbach</w:t>
            </w:r>
          </w:p>
        </w:tc>
        <w:tc>
          <w:tcPr>
            <w:tcW w:w="1701" w:type="dxa"/>
            <w:shd w:val="clear" w:color="auto" w:fill="auto"/>
          </w:tcPr>
          <w:p w:rsidR="00702B46" w:rsidRDefault="00702B46" w:rsidP="00590D15">
            <w:pPr>
              <w:spacing w:line="276" w:lineRule="auto"/>
            </w:pPr>
            <w:r>
              <w:t>Keine</w:t>
            </w:r>
          </w:p>
        </w:tc>
        <w:tc>
          <w:tcPr>
            <w:tcW w:w="1950" w:type="dxa"/>
            <w:shd w:val="clear" w:color="auto" w:fill="auto"/>
          </w:tcPr>
          <w:p w:rsidR="00702B46" w:rsidRDefault="00702B46" w:rsidP="00590D15">
            <w:pPr>
              <w:spacing w:line="276" w:lineRule="auto"/>
            </w:pPr>
            <w:r>
              <w:t>Fehlende Transparenz für den Konzern Stadt Overath, Gefahr der Leichtfertigkeit</w:t>
            </w:r>
          </w:p>
        </w:tc>
      </w:tr>
    </w:tbl>
    <w:p w:rsidR="00702B46" w:rsidRDefault="00702B46" w:rsidP="00702B46">
      <w:pPr>
        <w:spacing w:line="276" w:lineRule="auto"/>
        <w:jc w:val="both"/>
      </w:pPr>
    </w:p>
    <w:p w:rsidR="00702B46" w:rsidRPr="00702B46" w:rsidRDefault="00702B46" w:rsidP="00702B46">
      <w:pPr>
        <w:spacing w:line="276" w:lineRule="auto"/>
        <w:jc w:val="both"/>
        <w:rPr>
          <w:b/>
          <w:color w:val="2E74B5" w:themeColor="accent1" w:themeShade="BF"/>
          <w:u w:val="single"/>
        </w:rPr>
      </w:pPr>
      <w:r w:rsidRPr="00702B46">
        <w:rPr>
          <w:b/>
          <w:color w:val="2E74B5" w:themeColor="accent1" w:themeShade="BF"/>
          <w:u w:val="single"/>
        </w:rPr>
        <w:t>Körperschaftssteuer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1843"/>
        <w:gridCol w:w="1701"/>
        <w:gridCol w:w="1950"/>
      </w:tblGrid>
      <w:tr w:rsidR="00702B46" w:rsidTr="00590D15">
        <w:tc>
          <w:tcPr>
            <w:tcW w:w="1809" w:type="dxa"/>
            <w:shd w:val="clear" w:color="auto" w:fill="auto"/>
          </w:tcPr>
          <w:p w:rsidR="00702B46" w:rsidRPr="000F1C5C" w:rsidRDefault="00702B46" w:rsidP="00590D15">
            <w:pPr>
              <w:spacing w:line="276" w:lineRule="auto"/>
              <w:rPr>
                <w:b/>
              </w:rPr>
            </w:pPr>
            <w:r w:rsidRPr="000F1C5C">
              <w:rPr>
                <w:b/>
              </w:rPr>
              <w:t>Zuständigkeiten</w:t>
            </w:r>
          </w:p>
        </w:tc>
        <w:tc>
          <w:tcPr>
            <w:tcW w:w="1985" w:type="dxa"/>
            <w:shd w:val="clear" w:color="auto" w:fill="auto"/>
          </w:tcPr>
          <w:p w:rsidR="00702B46" w:rsidRPr="000F1C5C" w:rsidRDefault="00702B46" w:rsidP="00590D15">
            <w:pPr>
              <w:spacing w:line="276" w:lineRule="auto"/>
              <w:rPr>
                <w:b/>
              </w:rPr>
            </w:pPr>
            <w:r w:rsidRPr="000F1C5C">
              <w:rPr>
                <w:b/>
              </w:rPr>
              <w:t>Ablauf innerhalb der Organisation</w:t>
            </w:r>
          </w:p>
        </w:tc>
        <w:tc>
          <w:tcPr>
            <w:tcW w:w="1843" w:type="dxa"/>
            <w:shd w:val="clear" w:color="auto" w:fill="auto"/>
          </w:tcPr>
          <w:p w:rsidR="00702B46" w:rsidRPr="000F1C5C" w:rsidRDefault="00702B46" w:rsidP="00590D15">
            <w:pPr>
              <w:spacing w:line="276" w:lineRule="auto"/>
              <w:rPr>
                <w:b/>
              </w:rPr>
            </w:pPr>
            <w:r w:rsidRPr="000F1C5C">
              <w:rPr>
                <w:b/>
              </w:rPr>
              <w:t>Ablauf außerhalb der Organisation</w:t>
            </w:r>
          </w:p>
        </w:tc>
        <w:tc>
          <w:tcPr>
            <w:tcW w:w="1701" w:type="dxa"/>
            <w:shd w:val="clear" w:color="auto" w:fill="auto"/>
          </w:tcPr>
          <w:p w:rsidR="00702B46" w:rsidRPr="000F1C5C" w:rsidRDefault="00702B46" w:rsidP="00590D15">
            <w:pPr>
              <w:spacing w:line="276" w:lineRule="auto"/>
              <w:rPr>
                <w:b/>
              </w:rPr>
            </w:pPr>
            <w:r w:rsidRPr="000F1C5C">
              <w:rPr>
                <w:b/>
              </w:rPr>
              <w:t>Rückkopplung</w:t>
            </w:r>
          </w:p>
        </w:tc>
        <w:tc>
          <w:tcPr>
            <w:tcW w:w="1950" w:type="dxa"/>
            <w:shd w:val="clear" w:color="auto" w:fill="auto"/>
          </w:tcPr>
          <w:p w:rsidR="00702B46" w:rsidRPr="000F1C5C" w:rsidRDefault="00702B46" w:rsidP="00590D15">
            <w:pPr>
              <w:spacing w:line="276" w:lineRule="auto"/>
              <w:rPr>
                <w:b/>
              </w:rPr>
            </w:pPr>
            <w:r w:rsidRPr="000F1C5C">
              <w:rPr>
                <w:b/>
              </w:rPr>
              <w:t>Risiken</w:t>
            </w:r>
          </w:p>
        </w:tc>
      </w:tr>
      <w:tr w:rsidR="00702B46" w:rsidTr="00590D15">
        <w:tc>
          <w:tcPr>
            <w:tcW w:w="1809" w:type="dxa"/>
            <w:shd w:val="clear" w:color="auto" w:fill="auto"/>
          </w:tcPr>
          <w:p w:rsidR="00702B46" w:rsidRDefault="00702B46" w:rsidP="00590D15">
            <w:pPr>
              <w:spacing w:line="276" w:lineRule="auto"/>
            </w:pPr>
            <w:r>
              <w:t>Amt 20 /Stadtwerke/SEGO mbH</w:t>
            </w:r>
          </w:p>
        </w:tc>
        <w:tc>
          <w:tcPr>
            <w:tcW w:w="1985" w:type="dxa"/>
            <w:shd w:val="clear" w:color="auto" w:fill="auto"/>
          </w:tcPr>
          <w:p w:rsidR="00702B46" w:rsidRDefault="00702B46" w:rsidP="00590D15">
            <w:pPr>
              <w:spacing w:line="276" w:lineRule="auto"/>
            </w:pPr>
            <w:r>
              <w:t>Vorberatung der Steuererklärung  innerhalb der Fachämter/Fachfirmen</w:t>
            </w:r>
          </w:p>
        </w:tc>
        <w:tc>
          <w:tcPr>
            <w:tcW w:w="1843" w:type="dxa"/>
            <w:shd w:val="clear" w:color="auto" w:fill="auto"/>
          </w:tcPr>
          <w:p w:rsidR="00702B46" w:rsidRDefault="00702B46" w:rsidP="00590D15">
            <w:pPr>
              <w:spacing w:line="276" w:lineRule="auto"/>
            </w:pPr>
            <w:r>
              <w:t>Weitergabe der Daten an externe Fachfirmen, derzeit dhpg Gummersbach</w:t>
            </w:r>
          </w:p>
        </w:tc>
        <w:tc>
          <w:tcPr>
            <w:tcW w:w="1701" w:type="dxa"/>
            <w:shd w:val="clear" w:color="auto" w:fill="auto"/>
          </w:tcPr>
          <w:p w:rsidR="00702B46" w:rsidRDefault="00702B46" w:rsidP="00590D15">
            <w:pPr>
              <w:spacing w:line="276" w:lineRule="auto"/>
            </w:pPr>
            <w:r>
              <w:t>Keine</w:t>
            </w:r>
          </w:p>
        </w:tc>
        <w:tc>
          <w:tcPr>
            <w:tcW w:w="1950" w:type="dxa"/>
            <w:shd w:val="clear" w:color="auto" w:fill="auto"/>
          </w:tcPr>
          <w:p w:rsidR="00702B46" w:rsidRDefault="00702B46" w:rsidP="00590D15">
            <w:pPr>
              <w:spacing w:line="276" w:lineRule="auto"/>
            </w:pPr>
            <w:r>
              <w:t>Fehlende Transparenz für den Konzern Stadt Overath. Gefahr der Leichtfertigkeit</w:t>
            </w:r>
          </w:p>
        </w:tc>
      </w:tr>
    </w:tbl>
    <w:p w:rsidR="00702B46" w:rsidRDefault="00702B46" w:rsidP="00702B46">
      <w:pPr>
        <w:spacing w:line="276" w:lineRule="auto"/>
      </w:pPr>
    </w:p>
    <w:p w:rsidR="00702B46" w:rsidRPr="00702B46" w:rsidRDefault="00702B46" w:rsidP="00702B46">
      <w:pPr>
        <w:spacing w:line="276" w:lineRule="auto"/>
        <w:rPr>
          <w:b/>
          <w:color w:val="2E74B5" w:themeColor="accent1" w:themeShade="BF"/>
          <w:u w:val="single"/>
        </w:rPr>
      </w:pPr>
      <w:r w:rsidRPr="00702B46">
        <w:rPr>
          <w:b/>
          <w:color w:val="2E74B5" w:themeColor="accent1" w:themeShade="BF"/>
          <w:u w:val="single"/>
        </w:rPr>
        <w:t>Gewerbesteuer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3"/>
        <w:gridCol w:w="2031"/>
        <w:gridCol w:w="1843"/>
        <w:gridCol w:w="1701"/>
        <w:gridCol w:w="1950"/>
      </w:tblGrid>
      <w:tr w:rsidR="00702B46" w:rsidTr="00590D15">
        <w:tc>
          <w:tcPr>
            <w:tcW w:w="1763" w:type="dxa"/>
            <w:shd w:val="clear" w:color="auto" w:fill="auto"/>
          </w:tcPr>
          <w:p w:rsidR="00702B46" w:rsidRPr="000F1C5C" w:rsidRDefault="00702B46" w:rsidP="00590D15">
            <w:pPr>
              <w:spacing w:line="276" w:lineRule="auto"/>
              <w:rPr>
                <w:b/>
              </w:rPr>
            </w:pPr>
            <w:r w:rsidRPr="000F1C5C">
              <w:rPr>
                <w:b/>
              </w:rPr>
              <w:t>Zuständigkeiten</w:t>
            </w:r>
          </w:p>
        </w:tc>
        <w:tc>
          <w:tcPr>
            <w:tcW w:w="2031" w:type="dxa"/>
            <w:shd w:val="clear" w:color="auto" w:fill="auto"/>
          </w:tcPr>
          <w:p w:rsidR="00702B46" w:rsidRPr="000F1C5C" w:rsidRDefault="00702B46" w:rsidP="00590D15">
            <w:pPr>
              <w:spacing w:line="276" w:lineRule="auto"/>
              <w:rPr>
                <w:b/>
              </w:rPr>
            </w:pPr>
            <w:r w:rsidRPr="000F1C5C">
              <w:rPr>
                <w:b/>
              </w:rPr>
              <w:t>Ablauf innerhalb der Organisation</w:t>
            </w:r>
          </w:p>
        </w:tc>
        <w:tc>
          <w:tcPr>
            <w:tcW w:w="1843" w:type="dxa"/>
            <w:shd w:val="clear" w:color="auto" w:fill="auto"/>
          </w:tcPr>
          <w:p w:rsidR="00702B46" w:rsidRPr="000F1C5C" w:rsidRDefault="00702B46" w:rsidP="00590D15">
            <w:pPr>
              <w:spacing w:line="276" w:lineRule="auto"/>
              <w:rPr>
                <w:b/>
              </w:rPr>
            </w:pPr>
            <w:r w:rsidRPr="000F1C5C">
              <w:rPr>
                <w:b/>
              </w:rPr>
              <w:t>Ablauf außerhalb der Organisation</w:t>
            </w:r>
          </w:p>
        </w:tc>
        <w:tc>
          <w:tcPr>
            <w:tcW w:w="1701" w:type="dxa"/>
            <w:shd w:val="clear" w:color="auto" w:fill="auto"/>
          </w:tcPr>
          <w:p w:rsidR="00702B46" w:rsidRPr="000F1C5C" w:rsidRDefault="00702B46" w:rsidP="00590D15">
            <w:pPr>
              <w:spacing w:line="276" w:lineRule="auto"/>
              <w:rPr>
                <w:b/>
              </w:rPr>
            </w:pPr>
            <w:r w:rsidRPr="000F1C5C">
              <w:rPr>
                <w:b/>
              </w:rPr>
              <w:t>Rückkopplung</w:t>
            </w:r>
          </w:p>
        </w:tc>
        <w:tc>
          <w:tcPr>
            <w:tcW w:w="1950" w:type="dxa"/>
            <w:shd w:val="clear" w:color="auto" w:fill="auto"/>
          </w:tcPr>
          <w:p w:rsidR="00702B46" w:rsidRPr="000F1C5C" w:rsidRDefault="00702B46" w:rsidP="00590D15">
            <w:pPr>
              <w:spacing w:line="276" w:lineRule="auto"/>
              <w:rPr>
                <w:b/>
              </w:rPr>
            </w:pPr>
            <w:r w:rsidRPr="000F1C5C">
              <w:rPr>
                <w:b/>
              </w:rPr>
              <w:t>Risiken</w:t>
            </w:r>
          </w:p>
        </w:tc>
      </w:tr>
      <w:tr w:rsidR="00702B46" w:rsidTr="00590D15">
        <w:tc>
          <w:tcPr>
            <w:tcW w:w="1763" w:type="dxa"/>
            <w:shd w:val="clear" w:color="auto" w:fill="auto"/>
          </w:tcPr>
          <w:p w:rsidR="00702B46" w:rsidRDefault="00702B46" w:rsidP="00590D15">
            <w:pPr>
              <w:spacing w:line="276" w:lineRule="auto"/>
            </w:pPr>
            <w:r>
              <w:t>Amt 20/Stadtwerke /SEGO mbH</w:t>
            </w:r>
          </w:p>
        </w:tc>
        <w:tc>
          <w:tcPr>
            <w:tcW w:w="2031" w:type="dxa"/>
            <w:shd w:val="clear" w:color="auto" w:fill="auto"/>
          </w:tcPr>
          <w:p w:rsidR="00702B46" w:rsidRDefault="00702B46" w:rsidP="00590D15">
            <w:pPr>
              <w:spacing w:line="276" w:lineRule="auto"/>
            </w:pPr>
            <w:r>
              <w:t>Vorberatung der Steuererklärung innerhalb der Fachämter/Fachfirmen</w:t>
            </w:r>
          </w:p>
        </w:tc>
        <w:tc>
          <w:tcPr>
            <w:tcW w:w="1843" w:type="dxa"/>
            <w:shd w:val="clear" w:color="auto" w:fill="auto"/>
          </w:tcPr>
          <w:p w:rsidR="00702B46" w:rsidRDefault="00702B46" w:rsidP="00590D15">
            <w:pPr>
              <w:spacing w:line="276" w:lineRule="auto"/>
            </w:pPr>
            <w:r>
              <w:t>Weitergabe der Daten an externe Fachfirmen, derzeit dhpg Gummersbach</w:t>
            </w:r>
          </w:p>
        </w:tc>
        <w:tc>
          <w:tcPr>
            <w:tcW w:w="1701" w:type="dxa"/>
            <w:shd w:val="clear" w:color="auto" w:fill="auto"/>
          </w:tcPr>
          <w:p w:rsidR="00702B46" w:rsidRDefault="00702B46" w:rsidP="00590D15">
            <w:pPr>
              <w:spacing w:line="276" w:lineRule="auto"/>
            </w:pPr>
            <w:r>
              <w:t>Keine</w:t>
            </w:r>
          </w:p>
        </w:tc>
        <w:tc>
          <w:tcPr>
            <w:tcW w:w="1950" w:type="dxa"/>
            <w:shd w:val="clear" w:color="auto" w:fill="auto"/>
          </w:tcPr>
          <w:p w:rsidR="00702B46" w:rsidRDefault="00702B46" w:rsidP="00590D15">
            <w:pPr>
              <w:spacing w:line="276" w:lineRule="auto"/>
            </w:pPr>
            <w:r>
              <w:t>Fehlende Transparenz für den Konzern Stadt Overath, Gefahr der Leichtfertigkeit</w:t>
            </w:r>
          </w:p>
        </w:tc>
      </w:tr>
    </w:tbl>
    <w:p w:rsidR="00702B46" w:rsidRDefault="00702B46" w:rsidP="00C5594C">
      <w:pPr>
        <w:spacing w:line="360" w:lineRule="auto"/>
      </w:pPr>
    </w:p>
    <w:p w:rsidR="00232223" w:rsidRDefault="00702B46" w:rsidP="00C5594C">
      <w:pPr>
        <w:spacing w:line="360" w:lineRule="auto"/>
      </w:pPr>
      <w:r>
        <w:t xml:space="preserve">Es ist für jede </w:t>
      </w:r>
      <w:r w:rsidRPr="00232223">
        <w:rPr>
          <w:b/>
        </w:rPr>
        <w:t>potenzielle Fehlerquelle</w:t>
      </w:r>
      <w:r>
        <w:t xml:space="preserve"> in den Prozessen zu prüfen, wie diese mit angemessenem Aufwand bzw. mit welchen konkret einzusetzenden Instrumenten </w:t>
      </w:r>
      <w:r w:rsidRPr="00232223">
        <w:rPr>
          <w:b/>
        </w:rPr>
        <w:t>ausgeräumt</w:t>
      </w:r>
      <w:r>
        <w:t xml:space="preserve"> oder </w:t>
      </w:r>
      <w:r w:rsidRPr="00232223">
        <w:rPr>
          <w:b/>
        </w:rPr>
        <w:t>eingedämmt</w:t>
      </w:r>
      <w:r>
        <w:t xml:space="preserve"> werden können. Die Ergebnisse der Risiko-Analysen</w:t>
      </w:r>
      <w:r w:rsidR="00232223">
        <w:t xml:space="preserve"> sollten in den </w:t>
      </w:r>
      <w:r w:rsidR="00232223" w:rsidRPr="00232223">
        <w:rPr>
          <w:b/>
        </w:rPr>
        <w:t>Risiko-Kontroll-Matrizen</w:t>
      </w:r>
      <w:r w:rsidR="00232223">
        <w:t xml:space="preserve"> für die untersuchten Teilprozesse dargestellt werden.</w:t>
      </w:r>
    </w:p>
    <w:p w:rsidR="00232223" w:rsidRDefault="00232223" w:rsidP="00C5594C">
      <w:pPr>
        <w:spacing w:line="360" w:lineRule="auto"/>
      </w:pPr>
    </w:p>
    <w:p w:rsidR="00232223" w:rsidRDefault="00232223" w:rsidP="00232223">
      <w:pPr>
        <w:spacing w:line="360" w:lineRule="auto"/>
      </w:pPr>
      <w:r>
        <w:rPr>
          <w:noProof/>
          <w:lang w:eastAsia="de-DE"/>
        </w:rPr>
        <w:drawing>
          <wp:inline distT="0" distB="0" distL="0" distR="0" wp14:anchorId="04291947" wp14:editId="37BB6E38">
            <wp:extent cx="6222889" cy="4757531"/>
            <wp:effectExtent l="0" t="0" r="6985"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239435" cy="4770181"/>
                    </a:xfrm>
                    <a:prstGeom prst="rect">
                      <a:avLst/>
                    </a:prstGeom>
                  </pic:spPr>
                </pic:pic>
              </a:graphicData>
            </a:graphic>
          </wp:inline>
        </w:drawing>
      </w:r>
    </w:p>
    <w:p w:rsidR="00232223" w:rsidRPr="00232223" w:rsidRDefault="00232223" w:rsidP="00232223"/>
    <w:p w:rsidR="00232223" w:rsidRDefault="00D016B0" w:rsidP="0050640E">
      <w:pPr>
        <w:spacing w:line="360" w:lineRule="auto"/>
      </w:pPr>
      <w:r>
        <w:t xml:space="preserve">Naturgemäß ist eine solche </w:t>
      </w:r>
      <w:r w:rsidR="0050640E" w:rsidRPr="007E03B4">
        <w:rPr>
          <w:b/>
        </w:rPr>
        <w:t>Erfassung, Aufarbeitung und Darstellung</w:t>
      </w:r>
      <w:r w:rsidR="0050640E">
        <w:t xml:space="preserve"> aller Prozess-Risiken </w:t>
      </w:r>
      <w:r w:rsidR="0050640E" w:rsidRPr="007E03B4">
        <w:rPr>
          <w:b/>
        </w:rPr>
        <w:t>aufwendig und kurzfristig</w:t>
      </w:r>
      <w:r w:rsidR="0050640E">
        <w:t xml:space="preserve"> nicht vollständig für alle Teilprozesse zu bewältigen. Eine </w:t>
      </w:r>
      <w:r w:rsidR="0050640E" w:rsidRPr="009762A4">
        <w:rPr>
          <w:b/>
        </w:rPr>
        <w:t>Prioritätensetzung</w:t>
      </w:r>
      <w:r w:rsidR="0050640E">
        <w:t xml:space="preserve"> bei der Analyse ist erforderlich. Es sollte mit der Erarbeitung der Risiko-Kontroll-Matrizen für </w:t>
      </w:r>
      <w:r w:rsidR="0050640E">
        <w:lastRenderedPageBreak/>
        <w:t xml:space="preserve">die </w:t>
      </w:r>
      <w:r w:rsidR="0050640E" w:rsidRPr="009762A4">
        <w:rPr>
          <w:b/>
        </w:rPr>
        <w:t>vier risikoreichsten Kernprozesse</w:t>
      </w:r>
      <w:r w:rsidR="0050640E">
        <w:t xml:space="preserve"> der Umsatz-, Ertrag-, Grunderwerb- und Lohnsteuer begonnen werden.  </w:t>
      </w:r>
    </w:p>
    <w:p w:rsidR="00702B46" w:rsidRDefault="005D7DB5" w:rsidP="005D7DB5">
      <w:pPr>
        <w:pStyle w:val="berschrift1"/>
      </w:pPr>
      <w:r>
        <w:t xml:space="preserve">Programm: Mittels welcher Maßnahmen werden Tax Compliance Risiken beherrscht? </w:t>
      </w:r>
    </w:p>
    <w:p w:rsidR="005D7DB5" w:rsidRDefault="005D7DB5" w:rsidP="005D7DB5"/>
    <w:p w:rsidR="005D7DB5" w:rsidRDefault="005D7DB5" w:rsidP="00142D09">
      <w:pPr>
        <w:spacing w:line="360" w:lineRule="auto"/>
      </w:pPr>
      <w:r>
        <w:t xml:space="preserve">Nachdem eine erste und grobe Einschätzung der Situation vorgenommen worden ist, gilt es diese weiter zu analysieren und zu bewerten, um daraus notwendige </w:t>
      </w:r>
      <w:r w:rsidRPr="00492664">
        <w:rPr>
          <w:b/>
        </w:rPr>
        <w:t>Handlungsempfehlungen</w:t>
      </w:r>
      <w:r>
        <w:t xml:space="preserve"> abzuleiten.</w:t>
      </w:r>
    </w:p>
    <w:p w:rsidR="005D7DB5" w:rsidRPr="00142D09" w:rsidRDefault="005D7DB5" w:rsidP="00142D09">
      <w:pPr>
        <w:pStyle w:val="Listenabsatz"/>
        <w:numPr>
          <w:ilvl w:val="0"/>
          <w:numId w:val="4"/>
        </w:numPr>
        <w:spacing w:line="360" w:lineRule="auto"/>
        <w:rPr>
          <w:b/>
          <w:i/>
          <w:color w:val="2E74B5" w:themeColor="accent1" w:themeShade="BF"/>
          <w:sz w:val="28"/>
        </w:rPr>
      </w:pPr>
      <w:r w:rsidRPr="00142D09">
        <w:rPr>
          <w:b/>
          <w:i/>
          <w:color w:val="2E74B5" w:themeColor="accent1" w:themeShade="BF"/>
          <w:sz w:val="28"/>
        </w:rPr>
        <w:t xml:space="preserve">Vorbeugende Maßnahmen </w:t>
      </w:r>
    </w:p>
    <w:p w:rsidR="005D7DB5" w:rsidRDefault="005D7DB5" w:rsidP="00142D09">
      <w:pPr>
        <w:spacing w:line="360" w:lineRule="auto"/>
      </w:pPr>
      <w:r>
        <w:t>Hier werden noch sämtliche Steuerarten gemeinsam betrachtet, da die Maßnahmen auf alle Bereiche identisch zu übertragen sind.</w:t>
      </w:r>
    </w:p>
    <w:p w:rsidR="005D7DB5" w:rsidRDefault="005D7DB5" w:rsidP="00142D09">
      <w:pPr>
        <w:spacing w:line="360" w:lineRule="auto"/>
      </w:pPr>
      <w:r>
        <w:t xml:space="preserve">Der erste Schritt zu einer Verringerung des Risikos soll durch die Erarbeitung dieses </w:t>
      </w:r>
      <w:r w:rsidRPr="00492664">
        <w:rPr>
          <w:b/>
        </w:rPr>
        <w:t>Leitfadens</w:t>
      </w:r>
      <w:r>
        <w:t xml:space="preserve"> stattfinden. Es gilt zunächst die Analyse der </w:t>
      </w:r>
      <w:r w:rsidRPr="00492664">
        <w:rPr>
          <w:b/>
        </w:rPr>
        <w:t>Ist-Situation</w:t>
      </w:r>
      <w:r>
        <w:t xml:space="preserve"> mit allen Verantwortlichen der </w:t>
      </w:r>
      <w:r w:rsidRPr="00492664">
        <w:rPr>
          <w:b/>
        </w:rPr>
        <w:t>Stadt Overath</w:t>
      </w:r>
      <w:r>
        <w:t xml:space="preserve">, den </w:t>
      </w:r>
      <w:r w:rsidRPr="00492664">
        <w:rPr>
          <w:b/>
        </w:rPr>
        <w:t>Stadtwerken</w:t>
      </w:r>
      <w:r>
        <w:t xml:space="preserve"> und den </w:t>
      </w:r>
      <w:r w:rsidRPr="00492664">
        <w:rPr>
          <w:b/>
        </w:rPr>
        <w:t>100%igen Töchtern</w:t>
      </w:r>
      <w:r>
        <w:t xml:space="preserve"> der Stadt zu besprechen, sodass diese auch für die Zukunft sensibilisiert werden. </w:t>
      </w:r>
    </w:p>
    <w:p w:rsidR="00142D09" w:rsidRDefault="00142D09" w:rsidP="00142D09">
      <w:pPr>
        <w:spacing w:line="360" w:lineRule="auto"/>
      </w:pPr>
      <w:r>
        <w:t xml:space="preserve">Weitere Maßnahmen finden in einem zweiten Schritt auf der Ebene der Sachbearbeiter statt. Mit den zuständigen Kollegen sind insbesondere </w:t>
      </w:r>
    </w:p>
    <w:p w:rsidR="00142D09" w:rsidRPr="004C62B4" w:rsidRDefault="00142D09" w:rsidP="00142D09">
      <w:pPr>
        <w:pStyle w:val="Listenabsatz"/>
        <w:numPr>
          <w:ilvl w:val="0"/>
          <w:numId w:val="3"/>
        </w:numPr>
        <w:spacing w:line="360" w:lineRule="auto"/>
        <w:rPr>
          <w:b/>
        </w:rPr>
      </w:pPr>
      <w:r w:rsidRPr="004C62B4">
        <w:rPr>
          <w:b/>
        </w:rPr>
        <w:t xml:space="preserve">Schulungen </w:t>
      </w:r>
    </w:p>
    <w:p w:rsidR="00142D09" w:rsidRPr="004C62B4" w:rsidRDefault="00142D09" w:rsidP="00142D09">
      <w:pPr>
        <w:pStyle w:val="Listenabsatz"/>
        <w:numPr>
          <w:ilvl w:val="0"/>
          <w:numId w:val="3"/>
        </w:numPr>
        <w:spacing w:line="360" w:lineRule="auto"/>
        <w:rPr>
          <w:b/>
        </w:rPr>
      </w:pPr>
      <w:r w:rsidRPr="004C62B4">
        <w:rPr>
          <w:b/>
        </w:rPr>
        <w:t xml:space="preserve">Vertretungsregelungen </w:t>
      </w:r>
    </w:p>
    <w:p w:rsidR="00142D09" w:rsidRPr="004C62B4" w:rsidRDefault="00142D09" w:rsidP="00142D09">
      <w:pPr>
        <w:pStyle w:val="Listenabsatz"/>
        <w:numPr>
          <w:ilvl w:val="0"/>
          <w:numId w:val="3"/>
        </w:numPr>
        <w:spacing w:line="360" w:lineRule="auto"/>
        <w:rPr>
          <w:b/>
        </w:rPr>
      </w:pPr>
      <w:r w:rsidRPr="004C62B4">
        <w:rPr>
          <w:b/>
        </w:rPr>
        <w:t xml:space="preserve">IT Berechtigungen </w:t>
      </w:r>
    </w:p>
    <w:p w:rsidR="00142D09" w:rsidRDefault="004C62B4" w:rsidP="00142D09">
      <w:pPr>
        <w:spacing w:line="360" w:lineRule="auto"/>
      </w:pPr>
      <w:r>
        <w:t>a</w:t>
      </w:r>
      <w:r w:rsidR="00142D09">
        <w:t>bzustimmen.</w:t>
      </w:r>
    </w:p>
    <w:p w:rsidR="00142D09" w:rsidRDefault="00142D09" w:rsidP="00142D09">
      <w:pPr>
        <w:spacing w:line="360" w:lineRule="auto"/>
      </w:pPr>
      <w:r>
        <w:t xml:space="preserve">Das 4-Augen-Prinzip und die Funktionstrennung bei der Bearbeitung der steuerrechtlichen Vorgänge sind ebenfalls ausführlich zu dokumentieren und festzulegen. </w:t>
      </w:r>
    </w:p>
    <w:p w:rsidR="00142D09" w:rsidRPr="00D8489E" w:rsidRDefault="00142D09" w:rsidP="00142D09">
      <w:pPr>
        <w:pStyle w:val="Listenabsatz"/>
        <w:numPr>
          <w:ilvl w:val="0"/>
          <w:numId w:val="4"/>
        </w:numPr>
        <w:spacing w:line="360" w:lineRule="auto"/>
        <w:rPr>
          <w:b/>
          <w:i/>
          <w:color w:val="2E74B5" w:themeColor="accent1" w:themeShade="BF"/>
          <w:sz w:val="28"/>
        </w:rPr>
      </w:pPr>
      <w:r w:rsidRPr="00D8489E">
        <w:rPr>
          <w:b/>
          <w:i/>
          <w:color w:val="2E74B5" w:themeColor="accent1" w:themeShade="BF"/>
          <w:sz w:val="28"/>
        </w:rPr>
        <w:t xml:space="preserve">Detaillierte Bewertung der Abläufe </w:t>
      </w:r>
    </w:p>
    <w:p w:rsidR="00142D09" w:rsidRDefault="00142D09" w:rsidP="00142D09">
      <w:pPr>
        <w:spacing w:line="360" w:lineRule="auto"/>
      </w:pPr>
      <w:r>
        <w:t xml:space="preserve">Hier wird erstmalig eine </w:t>
      </w:r>
      <w:r w:rsidRPr="004C62B4">
        <w:rPr>
          <w:b/>
        </w:rPr>
        <w:t>Unterscheidung der Steuerarten</w:t>
      </w:r>
      <w:r>
        <w:t xml:space="preserve"> gemacht. </w:t>
      </w:r>
    </w:p>
    <w:p w:rsidR="00142D09" w:rsidRPr="0096444E" w:rsidRDefault="00142D09" w:rsidP="00142D09">
      <w:pPr>
        <w:spacing w:line="360" w:lineRule="auto"/>
        <w:rPr>
          <w:b/>
          <w:color w:val="2E74B5" w:themeColor="accent1" w:themeShade="BF"/>
          <w:u w:val="single"/>
        </w:rPr>
      </w:pPr>
      <w:r w:rsidRPr="0096444E">
        <w:rPr>
          <w:b/>
          <w:color w:val="2E74B5" w:themeColor="accent1" w:themeShade="BF"/>
          <w:u w:val="single"/>
        </w:rPr>
        <w:t xml:space="preserve">Umsatzsteuer bei der Stadt Overath </w:t>
      </w:r>
    </w:p>
    <w:p w:rsidR="00142D09" w:rsidRDefault="00142D09" w:rsidP="00142D09">
      <w:pPr>
        <w:spacing w:line="360" w:lineRule="auto"/>
      </w:pPr>
      <w:r>
        <w:lastRenderedPageBreak/>
        <w:t xml:space="preserve">Mit der Umsatzsteuer wird ein Sonderfall betrachtet, da sich diese Steuerart derzeit im </w:t>
      </w:r>
      <w:r w:rsidRPr="00E317C5">
        <w:rPr>
          <w:b/>
        </w:rPr>
        <w:t>Umbruch</w:t>
      </w:r>
      <w:r>
        <w:t xml:space="preserve"> befindet. Dies spiegelt bereits die Risikomatrix wieder. Aufgrund der aktuell laufenden Workshops und der aufgrund der gesetzlichen Novellierung zwingend erforderlichen </w:t>
      </w:r>
      <w:r w:rsidR="00D8489E">
        <w:t xml:space="preserve">Überprüfung sämtlicher städtischer Geschäftsfälle ist zumindest die Umsatzsteuer der Stadt Overath derzeit </w:t>
      </w:r>
      <w:r w:rsidR="00D8489E" w:rsidRPr="00E317C5">
        <w:rPr>
          <w:b/>
        </w:rPr>
        <w:t>in detaillierter Prüfung</w:t>
      </w:r>
      <w:r w:rsidR="00D8489E">
        <w:t xml:space="preserve"> befindlich. In diesem Zusammenhang werden auch die kurz-, mittel- und langfristigen Abläufe für die Zukunft anzupassen sein, da nicht nur die </w:t>
      </w:r>
      <w:r w:rsidR="00D8489E" w:rsidRPr="00E317C5">
        <w:rPr>
          <w:b/>
        </w:rPr>
        <w:t>steuerrechtlichen Ansprüche</w:t>
      </w:r>
      <w:r w:rsidR="00D8489E">
        <w:t xml:space="preserve"> an den städtischen Umgang mit der Umsatzsteuer </w:t>
      </w:r>
      <w:r w:rsidR="00D8489E" w:rsidRPr="00E317C5">
        <w:rPr>
          <w:b/>
        </w:rPr>
        <w:t>steigen</w:t>
      </w:r>
      <w:r w:rsidR="00D8489E">
        <w:t xml:space="preserve">, sondern auch die </w:t>
      </w:r>
      <w:r w:rsidR="00D8489E" w:rsidRPr="00E317C5">
        <w:rPr>
          <w:b/>
        </w:rPr>
        <w:t>haushälterischen Potentiale</w:t>
      </w:r>
      <w:r w:rsidR="00D8489E">
        <w:t xml:space="preserve"> eine </w:t>
      </w:r>
      <w:r w:rsidR="00D8489E" w:rsidRPr="00E317C5">
        <w:rPr>
          <w:b/>
        </w:rPr>
        <w:t>andere Gewichtung</w:t>
      </w:r>
      <w:r w:rsidR="00D8489E">
        <w:t xml:space="preserve"> erhalten werden.</w:t>
      </w:r>
    </w:p>
    <w:p w:rsidR="00D8489E" w:rsidRDefault="00D8489E" w:rsidP="00142D09">
      <w:pPr>
        <w:spacing w:line="360" w:lineRule="auto"/>
      </w:pPr>
      <w:r>
        <w:t xml:space="preserve">Der derzeitige Prozess zur Analyse der städtischen Umsatzsteuer und deren Bewertung verspricht </w:t>
      </w:r>
      <w:r w:rsidRPr="00D072D7">
        <w:rPr>
          <w:b/>
        </w:rPr>
        <w:t xml:space="preserve">Transparenz und Orientierung </w:t>
      </w:r>
      <w:r>
        <w:t xml:space="preserve">für die Stadt Overath. Mittelfristig daraus abzuleiten ist die Bearbeitung der laufenden Umsatzsteuer. </w:t>
      </w:r>
    </w:p>
    <w:p w:rsidR="0096444E" w:rsidRDefault="0096444E" w:rsidP="00142D09">
      <w:pPr>
        <w:spacing w:line="360" w:lineRule="auto"/>
      </w:pPr>
    </w:p>
    <w:p w:rsidR="00D8489E" w:rsidRPr="0096444E" w:rsidRDefault="0096444E" w:rsidP="00142D09">
      <w:pPr>
        <w:spacing w:line="360" w:lineRule="auto"/>
        <w:rPr>
          <w:b/>
          <w:color w:val="2E74B5" w:themeColor="accent1" w:themeShade="BF"/>
          <w:u w:val="single"/>
        </w:rPr>
      </w:pPr>
      <w:r w:rsidRPr="0096444E">
        <w:rPr>
          <w:b/>
          <w:color w:val="2E74B5" w:themeColor="accent1" w:themeShade="BF"/>
          <w:u w:val="single"/>
        </w:rPr>
        <w:t xml:space="preserve">Körperschaft-, Kapitalertrag- und Gewerbesteuer, Umsatzsteuer bei verbundenen Unternehmen und Eigenbetrieben </w:t>
      </w:r>
    </w:p>
    <w:p w:rsidR="0096444E" w:rsidRDefault="0096444E" w:rsidP="00142D09">
      <w:pPr>
        <w:spacing w:line="360" w:lineRule="auto"/>
      </w:pPr>
      <w:r>
        <w:t>Diese Steuern sind unter anderem auch bei den Eigenbetrieben und städtischen Töchtern angesiedelt, sodass die Bewertung in Zusammenarbeit mit den betroffenen Verantwortlichen stattfindet.</w:t>
      </w:r>
    </w:p>
    <w:p w:rsidR="005717F7" w:rsidRDefault="0096444E" w:rsidP="00142D09">
      <w:pPr>
        <w:spacing w:line="360" w:lineRule="auto"/>
      </w:pPr>
      <w:r>
        <w:t xml:space="preserve">Insgesamt wird festgestellt, dass die </w:t>
      </w:r>
      <w:r w:rsidRPr="00D072D7">
        <w:rPr>
          <w:b/>
        </w:rPr>
        <w:t>Steuererklärung</w:t>
      </w:r>
      <w:r>
        <w:t xml:space="preserve"> selbst durch </w:t>
      </w:r>
      <w:r w:rsidRPr="00D072D7">
        <w:rPr>
          <w:b/>
        </w:rPr>
        <w:t>externe Fachfirmen</w:t>
      </w:r>
      <w:r>
        <w:t xml:space="preserve"> gemacht wird, und somit der notwendige Sachverstand zum Einsatz kommt. Es zeigt sich jedoch auch, dass den</w:t>
      </w:r>
      <w:r w:rsidR="00CD4D0D">
        <w:t xml:space="preserve"> Vorgängen die notwenige Transparenz insofern fehlt, als dass man sich zu sehr auf die externen Dienstleister verlässt. Es gilt hier eine </w:t>
      </w:r>
      <w:r w:rsidR="00CD4D0D" w:rsidRPr="00D072D7">
        <w:rPr>
          <w:b/>
        </w:rPr>
        <w:t>transparente und detaillierte Rückkopplung</w:t>
      </w:r>
      <w:r w:rsidR="00CD4D0D">
        <w:t xml:space="preserve"> zu schaffen, die es absolut nachvollziehbar macht, wie sich die Steuererklärungen und die damit in Zusammenhang stehenden Rechte und Pflichten entwickeln. </w:t>
      </w:r>
    </w:p>
    <w:p w:rsidR="005717F7" w:rsidRDefault="005717F7" w:rsidP="00142D09">
      <w:pPr>
        <w:spacing w:line="360" w:lineRule="auto"/>
      </w:pPr>
      <w:r>
        <w:lastRenderedPageBreak/>
        <w:t xml:space="preserve">Die bisherigen </w:t>
      </w:r>
      <w:r w:rsidRPr="00D072D7">
        <w:rPr>
          <w:b/>
        </w:rPr>
        <w:t>aufdeckenden Maßnahmen</w:t>
      </w:r>
      <w:r>
        <w:t xml:space="preserve"> finden ausschließlich in </w:t>
      </w:r>
      <w:r w:rsidRPr="00D072D7">
        <w:rPr>
          <w:b/>
        </w:rPr>
        <w:t>stichprobenartig</w:t>
      </w:r>
      <w:r>
        <w:t xml:space="preserve">en Außenprüfungen durch das </w:t>
      </w:r>
      <w:r w:rsidRPr="00D072D7">
        <w:rPr>
          <w:b/>
        </w:rPr>
        <w:t>zuständige Finanzamt</w:t>
      </w:r>
      <w:r>
        <w:t xml:space="preserve"> statt. Dies ist nicht ausreichend. Zukünftig ist vorgesehen, sowohl in enger Zusammenarbeit mit den beauftragten Dritten als auch durch konsequentere Auf-, Vor- und Nachbereitung der Steuererklärungen, diese </w:t>
      </w:r>
      <w:r w:rsidRPr="00D072D7">
        <w:rPr>
          <w:b/>
        </w:rPr>
        <w:t>Maßnahmen auch innerhalb der eigenen Organisation einzuführen</w:t>
      </w:r>
      <w:r>
        <w:t xml:space="preserve">. </w:t>
      </w:r>
    </w:p>
    <w:p w:rsidR="005717F7" w:rsidRDefault="005717F7" w:rsidP="00142D09">
      <w:pPr>
        <w:spacing w:line="360" w:lineRule="auto"/>
      </w:pPr>
      <w:r>
        <w:t xml:space="preserve">Mit Fortschreiten der Entwicklung des TCMS können die oben aufgeführten Maßnahmen Schritt für Schritt intensiviert werden, sodass sowohl eine </w:t>
      </w:r>
      <w:r w:rsidRPr="00D072D7">
        <w:rPr>
          <w:b/>
        </w:rPr>
        <w:t>Ausdehnung</w:t>
      </w:r>
      <w:r>
        <w:t xml:space="preserve"> als auch eine </w:t>
      </w:r>
      <w:r w:rsidRPr="00D072D7">
        <w:rPr>
          <w:b/>
        </w:rPr>
        <w:t>langfristige Verbesserung</w:t>
      </w:r>
      <w:r>
        <w:t xml:space="preserve"> des </w:t>
      </w:r>
      <w:r w:rsidRPr="00D072D7">
        <w:rPr>
          <w:b/>
        </w:rPr>
        <w:t>TCMS</w:t>
      </w:r>
      <w:r>
        <w:t xml:space="preserve"> stattfinden kann. </w:t>
      </w:r>
    </w:p>
    <w:p w:rsidR="00F04A3B" w:rsidRDefault="005717F7" w:rsidP="00142D09">
      <w:pPr>
        <w:spacing w:line="360" w:lineRule="auto"/>
      </w:pPr>
      <w:r>
        <w:t xml:space="preserve">Absolut maßgeblich ist nach einer ersten internen Abstimmung mit dem originär </w:t>
      </w:r>
      <w:r w:rsidR="00F04A3B">
        <w:t xml:space="preserve">Verantwortlichen zum TCMS auch eine </w:t>
      </w:r>
      <w:r w:rsidR="00F04A3B" w:rsidRPr="00D072D7">
        <w:rPr>
          <w:b/>
        </w:rPr>
        <w:t>Sensibilisierung</w:t>
      </w:r>
      <w:r w:rsidR="00F04A3B">
        <w:t xml:space="preserve"> der gesamten Stadtverwaltung. Es gilt, die Kollegen für die Besonderheiten und Gefahren im Umgang mit steuerlichen Sachverhalten zu sensibilisieren. Ziel kann nicht sein, überall entsprechendes Fachwissen zu hinterlegen. Vielmehr sollte aber allen Mitarbeitern bewusst sein, dass eine </w:t>
      </w:r>
      <w:r w:rsidR="00F04A3B" w:rsidRPr="00D072D7">
        <w:rPr>
          <w:b/>
        </w:rPr>
        <w:t>zusätzliche Abstimmung</w:t>
      </w:r>
      <w:r w:rsidR="00F04A3B">
        <w:t xml:space="preserve"> im Zusammenhang mit Steuervorfällen </w:t>
      </w:r>
      <w:r w:rsidR="00F04A3B" w:rsidRPr="00D072D7">
        <w:rPr>
          <w:b/>
        </w:rPr>
        <w:t>absolut sinnvoll und notwendig</w:t>
      </w:r>
      <w:r w:rsidR="00F04A3B">
        <w:t xml:space="preserve"> ist. Ein </w:t>
      </w:r>
      <w:r w:rsidR="00F04A3B" w:rsidRPr="00D072D7">
        <w:rPr>
          <w:b/>
        </w:rPr>
        <w:t>zentraler Ansprechpartner</w:t>
      </w:r>
      <w:r w:rsidR="00F04A3B">
        <w:t xml:space="preserve">, der dem Konzern Stadt Overath für eine Rückkopplung mit den Fachämtern zur Verfügung steht sollte daher </w:t>
      </w:r>
      <w:r w:rsidR="00F04A3B" w:rsidRPr="00D072D7">
        <w:rPr>
          <w:b/>
        </w:rPr>
        <w:t>benannt</w:t>
      </w:r>
      <w:r w:rsidR="00F04A3B">
        <w:t xml:space="preserve"> sein. Auch dies muss ein Ergebnis der Bearbeitung eines TCMS sein.</w:t>
      </w:r>
    </w:p>
    <w:p w:rsidR="00AF7C2C" w:rsidRDefault="00F04A3B" w:rsidP="00142D09">
      <w:pPr>
        <w:spacing w:line="360" w:lineRule="auto"/>
      </w:pPr>
      <w:r>
        <w:t xml:space="preserve">Als erstes Ergebnis dieser TCMS Ausarbeitung muss daher eine </w:t>
      </w:r>
      <w:r w:rsidRPr="00D072D7">
        <w:rPr>
          <w:b/>
        </w:rPr>
        <w:t>Festlegung der Verantwortlichkeiten und Abläufe</w:t>
      </w:r>
      <w:r>
        <w:t xml:space="preserve"> innerhalb der Organisation stehen, welches durch die bearbeitende Ebene abgestimmt wurde. Dies beinhaltet auch die vertikale und horizontale </w:t>
      </w:r>
      <w:r w:rsidRPr="00D072D7">
        <w:rPr>
          <w:b/>
        </w:rPr>
        <w:t>Delegation</w:t>
      </w:r>
      <w:r>
        <w:t xml:space="preserve"> und die Festlegung entsprechender </w:t>
      </w:r>
      <w:r w:rsidRPr="00D072D7">
        <w:rPr>
          <w:b/>
        </w:rPr>
        <w:t>Weisungsstrukturen</w:t>
      </w:r>
      <w:r>
        <w:t>. Wich</w:t>
      </w:r>
      <w:r w:rsidR="00D072D7">
        <w:t>tig ist auch die Benennung eines</w:t>
      </w:r>
      <w:r>
        <w:t xml:space="preserve"> zentralen Ansprechpartner</w:t>
      </w:r>
      <w:r w:rsidR="00D072D7">
        <w:t>s</w:t>
      </w:r>
      <w:r>
        <w:t xml:space="preserve"> für die Bearbeitung der steuerlichen Vorkommnisse und der Kommunikation mit allen internen und externen Beteiligten, eine </w:t>
      </w:r>
      <w:r w:rsidRPr="00D072D7">
        <w:rPr>
          <w:b/>
        </w:rPr>
        <w:t>Vertretungsregelung</w:t>
      </w:r>
      <w:r>
        <w:t xml:space="preserve"> ist unbedingt </w:t>
      </w:r>
      <w:r w:rsidR="00AF7C2C">
        <w:t>notwendig.</w:t>
      </w:r>
    </w:p>
    <w:p w:rsidR="0096444E" w:rsidRDefault="00AF7C2C" w:rsidP="00142D09">
      <w:pPr>
        <w:spacing w:line="360" w:lineRule="auto"/>
        <w:rPr>
          <w:b/>
        </w:rPr>
      </w:pPr>
      <w:r>
        <w:lastRenderedPageBreak/>
        <w:t xml:space="preserve">Dieses </w:t>
      </w:r>
      <w:r w:rsidRPr="00E32E25">
        <w:rPr>
          <w:b/>
        </w:rPr>
        <w:t>TCMS–Organigramm</w:t>
      </w:r>
      <w:r>
        <w:t xml:space="preserve"> ist im Anschluss daran dem VV vorzustellen, insbesondere vor dem Hintergrund, inwiefern ggfs. Festgestellte notwendige Veränderungen umzusetzen sind. Nach Freigabe sind diese Ergebnisse dann innerhalb und außerhalb der Organisation </w:t>
      </w:r>
      <w:r w:rsidRPr="00E32E25">
        <w:rPr>
          <w:b/>
        </w:rPr>
        <w:t xml:space="preserve">bekannt zu machen. </w:t>
      </w:r>
      <w:r w:rsidR="0096444E" w:rsidRPr="00E32E25">
        <w:rPr>
          <w:b/>
        </w:rPr>
        <w:t xml:space="preserve"> </w:t>
      </w:r>
    </w:p>
    <w:p w:rsidR="00E32E25" w:rsidRDefault="00E32E25" w:rsidP="00E32E25">
      <w:pPr>
        <w:pStyle w:val="berschrift1"/>
      </w:pPr>
      <w:r>
        <w:t xml:space="preserve">Kommunikation: Welche Regelwerke oder Meldesysteme bestehen? </w:t>
      </w:r>
    </w:p>
    <w:p w:rsidR="00E32E25" w:rsidRDefault="00E32E25" w:rsidP="00E32E25"/>
    <w:p w:rsidR="00E32E25" w:rsidRDefault="00E32E25" w:rsidP="00E32E25">
      <w:r>
        <w:t xml:space="preserve">Vor allem in der Einführungsphase eines TCMS sind intensive Anstrengungen erforderlich, um für den angestrebten Kulturwandel zu werben sowie die erforderlichen neuen Organisations- und Regelstrukturen bekannt zu machen und deren Befolgung durchzusetzen. </w:t>
      </w:r>
    </w:p>
    <w:p w:rsidR="00E32E25" w:rsidRDefault="00E32E25" w:rsidP="00E32E25">
      <w:r>
        <w:t xml:space="preserve">Die </w:t>
      </w:r>
      <w:r w:rsidRPr="00EF292E">
        <w:rPr>
          <w:b/>
        </w:rPr>
        <w:t>TC-Kommunikationsrichtlinie</w:t>
      </w:r>
      <w:r>
        <w:t xml:space="preserve"> beinhaltet neben einem </w:t>
      </w:r>
      <w:r w:rsidRPr="00EF292E">
        <w:rPr>
          <w:b/>
        </w:rPr>
        <w:t>Leitbild</w:t>
      </w:r>
      <w:r>
        <w:t xml:space="preserve"> für die TC-Kommunikation in erster Linie konkrete </w:t>
      </w:r>
      <w:r w:rsidRPr="00EF292E">
        <w:rPr>
          <w:b/>
        </w:rPr>
        <w:t>Pflichtmaßnahmen</w:t>
      </w:r>
      <w:r>
        <w:t xml:space="preserve"> des Steuerfachdienstes zur kontinuierlichen Sensibilisierung und Schulung der Mitarbeitenden. </w:t>
      </w:r>
    </w:p>
    <w:p w:rsidR="00E32E25" w:rsidRDefault="00E32E25" w:rsidP="00E32E25">
      <w:r>
        <w:t xml:space="preserve">Das </w:t>
      </w:r>
      <w:r w:rsidRPr="00EF292E">
        <w:rPr>
          <w:b/>
          <w:i/>
          <w:color w:val="2E74B5" w:themeColor="accent1" w:themeShade="BF"/>
          <w:u w:val="single"/>
        </w:rPr>
        <w:t>Leitbild</w:t>
      </w:r>
      <w:r w:rsidRPr="00EF292E">
        <w:rPr>
          <w:color w:val="2E74B5" w:themeColor="accent1" w:themeShade="BF"/>
        </w:rPr>
        <w:t xml:space="preserve"> </w:t>
      </w:r>
      <w:r>
        <w:t xml:space="preserve">darf nicht auf eine Darstellung der Ziele der Kommunikationsstrategie beschränkt sein. Es sollte die </w:t>
      </w:r>
      <w:r w:rsidRPr="00EF292E">
        <w:rPr>
          <w:b/>
        </w:rPr>
        <w:t>Bedeutung kontinuierlicher Kommunikationsprozesse, persönlicher Vorsprachen</w:t>
      </w:r>
      <w:r>
        <w:t xml:space="preserve"> sowie (sprachlich wie organisatorisch) niedrigschwellig </w:t>
      </w:r>
      <w:r w:rsidRPr="00EF292E">
        <w:rPr>
          <w:b/>
        </w:rPr>
        <w:t>zugänglicher Handlungsanweisungen</w:t>
      </w:r>
      <w:r>
        <w:t xml:space="preserve"> betont werden. Ferner muss deutlich werden, dass der </w:t>
      </w:r>
      <w:r w:rsidRPr="00EF292E">
        <w:rPr>
          <w:b/>
        </w:rPr>
        <w:t>Erfolg</w:t>
      </w:r>
      <w:r>
        <w:t xml:space="preserve"> der Kommunikationsmaßnahmen </w:t>
      </w:r>
      <w:r w:rsidRPr="00EF292E">
        <w:rPr>
          <w:b/>
        </w:rPr>
        <w:t>regelmäßig evaluiert</w:t>
      </w:r>
      <w:r>
        <w:t xml:space="preserve"> </w:t>
      </w:r>
      <w:r w:rsidR="00757DD1">
        <w:t xml:space="preserve">wird. Schließlich müssen sich im Leitbild Aussagen wiederfinden, die den Steuerfachdienst zu einem planmäßigen Vorgehen bei der Gestaltung der Kommunikationsprozesse (Kommunikationsplan) verpflichten. </w:t>
      </w:r>
    </w:p>
    <w:p w:rsidR="00757DD1" w:rsidRDefault="00757DD1" w:rsidP="00E32E25">
      <w:r>
        <w:t xml:space="preserve">Ein </w:t>
      </w:r>
      <w:r w:rsidRPr="00EF292E">
        <w:rPr>
          <w:b/>
          <w:i/>
          <w:color w:val="2E74B5" w:themeColor="accent1" w:themeShade="BF"/>
          <w:u w:val="single"/>
        </w:rPr>
        <w:t>Kommunikationsplan</w:t>
      </w:r>
      <w:r>
        <w:t xml:space="preserve"> soll </w:t>
      </w:r>
    </w:p>
    <w:p w:rsidR="00757DD1" w:rsidRDefault="00757DD1" w:rsidP="00757DD1">
      <w:pPr>
        <w:pStyle w:val="Listenabsatz"/>
        <w:numPr>
          <w:ilvl w:val="0"/>
          <w:numId w:val="5"/>
        </w:numPr>
      </w:pPr>
      <w:r>
        <w:t xml:space="preserve">die zum Einsatz kommenden </w:t>
      </w:r>
      <w:r w:rsidRPr="00EF292E">
        <w:rPr>
          <w:b/>
        </w:rPr>
        <w:t>Kommunikationsinstrumente</w:t>
      </w:r>
      <w:r>
        <w:t xml:space="preserve"> für die einzelnen Ziel- bzw. Adressatengruppen darstellen sowie </w:t>
      </w:r>
    </w:p>
    <w:p w:rsidR="00757DD1" w:rsidRDefault="00757DD1" w:rsidP="00757DD1">
      <w:pPr>
        <w:pStyle w:val="Listenabsatz"/>
        <w:numPr>
          <w:ilvl w:val="0"/>
          <w:numId w:val="5"/>
        </w:numPr>
      </w:pPr>
      <w:r>
        <w:t xml:space="preserve">die </w:t>
      </w:r>
      <w:r w:rsidRPr="00EF292E">
        <w:rPr>
          <w:b/>
        </w:rPr>
        <w:t>Instrumente der Erfolgskontrolle bzw. Evaluation</w:t>
      </w:r>
      <w:r>
        <w:t xml:space="preserve"> umfassen. </w:t>
      </w:r>
    </w:p>
    <w:p w:rsidR="00757DD1" w:rsidRDefault="00757DD1" w:rsidP="00757DD1">
      <w:r>
        <w:t xml:space="preserve">Bei der Darstellung der Kommunikationsinstrumente sowie der Instrumente für die Erfolgskontrolle bzw. Evaluation ist besonderer Wert auf eine konkrete </w:t>
      </w:r>
      <w:r w:rsidRPr="00EF292E">
        <w:rPr>
          <w:b/>
        </w:rPr>
        <w:t>zeitliche, persönliche und inhaltliche Abgrenzung</w:t>
      </w:r>
      <w:r>
        <w:t xml:space="preserve"> bzw. Konkretisierung der Instrumente im Hinblick auf die verschiedenen </w:t>
      </w:r>
      <w:r w:rsidRPr="00EF292E">
        <w:rPr>
          <w:b/>
        </w:rPr>
        <w:t>Adressatenkreise</w:t>
      </w:r>
      <w:r>
        <w:t xml:space="preserve"> zu legen. So ist </w:t>
      </w:r>
      <w:r w:rsidR="00EF292E">
        <w:t>für jeden relevanten Mitarbeitenden</w:t>
      </w:r>
      <w:r>
        <w:t xml:space="preserve"> bzw. jede relevante Organisationseinheit zu bestimmen, welche Maßnahme </w:t>
      </w:r>
      <w:r w:rsidRPr="00B5393A">
        <w:rPr>
          <w:b/>
        </w:rPr>
        <w:t>wann</w:t>
      </w:r>
      <w:r>
        <w:t xml:space="preserve"> bzw. mit welcher </w:t>
      </w:r>
      <w:r w:rsidRPr="00B5393A">
        <w:rPr>
          <w:b/>
        </w:rPr>
        <w:t>Regelmäßigkeit</w:t>
      </w:r>
      <w:r>
        <w:t xml:space="preserve"> stattzufinden hat und wie der Erfolg der Kommunikationsmaßnahmen </w:t>
      </w:r>
      <w:r w:rsidRPr="00B5393A">
        <w:rPr>
          <w:b/>
        </w:rPr>
        <w:t>überprüft</w:t>
      </w:r>
      <w:r>
        <w:t xml:space="preserve"> wird. </w:t>
      </w:r>
    </w:p>
    <w:p w:rsidR="00757DD1" w:rsidRDefault="0021697F" w:rsidP="00757DD1">
      <w:r>
        <w:lastRenderedPageBreak/>
        <w:t xml:space="preserve">Bei der Entwicklung von Kommunikationsinstrumenten sollten auch neue bzw. bisher nur vereinzelt beschrittene Wege in Betracht gezogen werden. So sollten gerade in der Startphase die Notwendigkeit und die Grundzüge des TCMS den betroffenen Mitarbeitenden in </w:t>
      </w:r>
      <w:r w:rsidRPr="00B5393A">
        <w:rPr>
          <w:b/>
        </w:rPr>
        <w:t>dokumentierten Gesprächen</w:t>
      </w:r>
      <w:r>
        <w:t xml:space="preserve"> vermittelt werden. Eine rein schriftliche Kommunikation ist nicht ausreichend, damit Rückkoppelungen zum Steuerfachdienst unkompliziert möglich sind. Entsprechendes gilt für alle wesentlichen Fortschreibungen des TCMS aufgrund neuerer Erkenntnisse und Erfordernisse. Zudem können regelmäßige Besuche des Steuerfachdienstes in den weiteren Verwaltungseinheiten der Stadt helfen, um die </w:t>
      </w:r>
      <w:r w:rsidRPr="00737206">
        <w:rPr>
          <w:b/>
        </w:rPr>
        <w:t>Wahrnehmbarkeit des TCMS</w:t>
      </w:r>
      <w:r>
        <w:t xml:space="preserve"> zu steigern und die </w:t>
      </w:r>
      <w:r w:rsidRPr="00737206">
        <w:rPr>
          <w:b/>
        </w:rPr>
        <w:t>praxist</w:t>
      </w:r>
      <w:r w:rsidR="00B5393A" w:rsidRPr="00737206">
        <w:rPr>
          <w:b/>
        </w:rPr>
        <w:t>ypischen Kommunikationshürden la</w:t>
      </w:r>
      <w:r w:rsidRPr="00737206">
        <w:rPr>
          <w:b/>
        </w:rPr>
        <w:t>nger bzw. formalisierter Dienstwege</w:t>
      </w:r>
      <w:r>
        <w:t xml:space="preserve"> abzubauen. </w:t>
      </w:r>
    </w:p>
    <w:p w:rsidR="0021697F" w:rsidRDefault="0055332A" w:rsidP="00757DD1">
      <w:r>
        <w:t xml:space="preserve">Darüber hinaus ist ein </w:t>
      </w:r>
      <w:r w:rsidRPr="00737206">
        <w:rPr>
          <w:b/>
          <w:i/>
          <w:color w:val="2E74B5" w:themeColor="accent1" w:themeShade="BF"/>
          <w:u w:val="single"/>
        </w:rPr>
        <w:t>Instrumentenkasten</w:t>
      </w:r>
      <w:r>
        <w:t xml:space="preserve"> für den allgemeinen laufenden Informationsfluss vom Steuerfachdienst an die steuerlich operativ tätigen Einheiten zu entwickeln. In Frage kommen beispielweise:</w:t>
      </w:r>
    </w:p>
    <w:p w:rsidR="0055332A" w:rsidRDefault="0055332A" w:rsidP="0055332A">
      <w:pPr>
        <w:pStyle w:val="Listenabsatz"/>
        <w:numPr>
          <w:ilvl w:val="0"/>
          <w:numId w:val="6"/>
        </w:numPr>
      </w:pPr>
      <w:r>
        <w:t xml:space="preserve">Entwicklung eines </w:t>
      </w:r>
      <w:r w:rsidRPr="00737206">
        <w:rPr>
          <w:b/>
        </w:rPr>
        <w:t>TC-Steuerleitfadens</w:t>
      </w:r>
      <w:r>
        <w:t xml:space="preserve"> als allgemeine Basisinformation zu den steuerlichen Pflichten der Kommune.</w:t>
      </w:r>
    </w:p>
    <w:p w:rsidR="0055332A" w:rsidRDefault="0055332A" w:rsidP="0055332A">
      <w:pPr>
        <w:pStyle w:val="Listenabsatz"/>
        <w:numPr>
          <w:ilvl w:val="0"/>
          <w:numId w:val="6"/>
        </w:numPr>
      </w:pPr>
      <w:r>
        <w:t xml:space="preserve">Informationsweitergabe bei Gesetzesänderungen per </w:t>
      </w:r>
      <w:r w:rsidRPr="00737206">
        <w:rPr>
          <w:b/>
        </w:rPr>
        <w:t>TC-Newsletter</w:t>
      </w:r>
    </w:p>
    <w:p w:rsidR="00F85F9B" w:rsidRDefault="0055332A" w:rsidP="0055332A">
      <w:r>
        <w:t xml:space="preserve">Mittelfristig sollten die Städte zudem einen </w:t>
      </w:r>
      <w:r w:rsidRPr="00737206">
        <w:rPr>
          <w:b/>
        </w:rPr>
        <w:t>Einheitlichen Ansprechpartner</w:t>
      </w:r>
      <w:r>
        <w:t xml:space="preserve"> </w:t>
      </w:r>
      <w:r w:rsidRPr="00737206">
        <w:rPr>
          <w:b/>
        </w:rPr>
        <w:t>für Steuerfragen</w:t>
      </w:r>
      <w:r>
        <w:t xml:space="preserve"> der Beschäftigen installieren, der jederzeit auch niedrigschwellig für formlose Rückfragen zur Verfügung steht. Auf diese Weise können </w:t>
      </w:r>
      <w:r w:rsidR="00F85F9B">
        <w:t xml:space="preserve">Hemmschwellen reduziert werden und zudem weitergehende Informationsbedarfe schneller erkannt werden. </w:t>
      </w:r>
    </w:p>
    <w:p w:rsidR="0055332A" w:rsidRDefault="00F85F9B" w:rsidP="0055332A">
      <w:r>
        <w:t xml:space="preserve">Der TC-Kommunikationsplan und die darauf aufsetzenden Instrumente sind in die städtischen TC-Richtlinien aufzunehmen. </w:t>
      </w:r>
      <w:r w:rsidR="0055332A">
        <w:t xml:space="preserve"> </w:t>
      </w:r>
    </w:p>
    <w:p w:rsidR="00B64816" w:rsidRDefault="00B64816" w:rsidP="000E0DB4">
      <w:pPr>
        <w:pStyle w:val="berschrift1"/>
      </w:pPr>
    </w:p>
    <w:p w:rsidR="000E0DB4" w:rsidRDefault="000E0DB4" w:rsidP="000E0DB4">
      <w:pPr>
        <w:pStyle w:val="berschrift1"/>
      </w:pPr>
      <w:bookmarkStart w:id="0" w:name="_GoBack"/>
      <w:bookmarkEnd w:id="0"/>
      <w:r>
        <w:t xml:space="preserve">Überwachung/Verbesserung: Welche fortlaufenden Überwachungs- und Verbesserungsmaßnahmen sind vorgesehen? </w:t>
      </w:r>
    </w:p>
    <w:p w:rsidR="000E0DB4" w:rsidRDefault="000E0DB4" w:rsidP="000E0DB4"/>
    <w:p w:rsidR="000E0DB4" w:rsidRDefault="000E0DB4" w:rsidP="000E0DB4">
      <w:r>
        <w:t xml:space="preserve">Das TCMS ist ein </w:t>
      </w:r>
      <w:r w:rsidRPr="000E0DB4">
        <w:rPr>
          <w:b/>
        </w:rPr>
        <w:t>lebendes System</w:t>
      </w:r>
      <w:r>
        <w:t>. Die gesetzlichen Anforderungen ändern sich, ebenso wie die organisatorischen Strukturen. Es gilt regelmäßig zu überprüfen, was für Veränderungen es im Arbeitsablauf gibt und wie diese umgesetzt werden können. Ebenfalls sind Schwachstellen und Fehler im laufenden System unverzüglich zu benennen idealerweise kurzfristig zu beseitigen.</w:t>
      </w:r>
    </w:p>
    <w:p w:rsidR="000E0DB4" w:rsidRPr="000E0DB4" w:rsidRDefault="000E0DB4" w:rsidP="000E0DB4">
      <w:r>
        <w:lastRenderedPageBreak/>
        <w:t xml:space="preserve">Es muss bereits im Ersten Prozess der TCMS Bearbeitung klargestellt werden, dass entsprechende Informationen insbesondere durch die Sachbearbeiter und Verantwortlichen zusammenzutragen sind. Diese werden bei Amt 20/Kämmerin gesammelt und bewertet. </w:t>
      </w:r>
    </w:p>
    <w:p w:rsidR="000E0DB4" w:rsidRPr="00E32E25" w:rsidRDefault="000E0DB4" w:rsidP="0055332A"/>
    <w:sectPr w:rsidR="000E0DB4" w:rsidRPr="00E32E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2223" w:rsidRDefault="00232223" w:rsidP="00232223">
      <w:pPr>
        <w:spacing w:after="0" w:line="240" w:lineRule="auto"/>
      </w:pPr>
      <w:r>
        <w:separator/>
      </w:r>
    </w:p>
  </w:endnote>
  <w:endnote w:type="continuationSeparator" w:id="0">
    <w:p w:rsidR="00232223" w:rsidRDefault="00232223" w:rsidP="00232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2223" w:rsidRDefault="00232223" w:rsidP="00232223">
      <w:pPr>
        <w:spacing w:after="0" w:line="240" w:lineRule="auto"/>
      </w:pPr>
      <w:r>
        <w:separator/>
      </w:r>
    </w:p>
  </w:footnote>
  <w:footnote w:type="continuationSeparator" w:id="0">
    <w:p w:rsidR="00232223" w:rsidRDefault="00232223" w:rsidP="002322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97AAC"/>
    <w:multiLevelType w:val="hybridMultilevel"/>
    <w:tmpl w:val="B54E223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9F15698"/>
    <w:multiLevelType w:val="hybridMultilevel"/>
    <w:tmpl w:val="278C81C0"/>
    <w:lvl w:ilvl="0" w:tplc="0407000F">
      <w:start w:val="1"/>
      <w:numFmt w:val="decimal"/>
      <w:lvlText w:val="%1."/>
      <w:lvlJc w:val="left"/>
      <w:pPr>
        <w:ind w:left="720" w:hanging="360"/>
      </w:pPr>
      <w:rPr>
        <w:rFonts w:hint="default"/>
      </w:rPr>
    </w:lvl>
    <w:lvl w:ilvl="1" w:tplc="04070001">
      <w:start w:val="1"/>
      <w:numFmt w:val="bullet"/>
      <w:lvlText w:val=""/>
      <w:lvlJc w:val="left"/>
      <w:pPr>
        <w:ind w:left="1440" w:hanging="360"/>
      </w:pPr>
      <w:rPr>
        <w:rFonts w:ascii="Symbol" w:hAnsi="Symbo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CB56E39"/>
    <w:multiLevelType w:val="hybridMultilevel"/>
    <w:tmpl w:val="8A963E2A"/>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17E1ACF"/>
    <w:multiLevelType w:val="hybridMultilevel"/>
    <w:tmpl w:val="9EC43D0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C233F4D"/>
    <w:multiLevelType w:val="hybridMultilevel"/>
    <w:tmpl w:val="9D1470B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EB5749B"/>
    <w:multiLevelType w:val="hybridMultilevel"/>
    <w:tmpl w:val="F2F2D42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328"/>
    <w:rsid w:val="0004034D"/>
    <w:rsid w:val="000B5267"/>
    <w:rsid w:val="000E0DB4"/>
    <w:rsid w:val="001215F5"/>
    <w:rsid w:val="00142D09"/>
    <w:rsid w:val="001B5B86"/>
    <w:rsid w:val="002156CF"/>
    <w:rsid w:val="0021697F"/>
    <w:rsid w:val="00232223"/>
    <w:rsid w:val="00301347"/>
    <w:rsid w:val="00324328"/>
    <w:rsid w:val="00441EB8"/>
    <w:rsid w:val="00457B09"/>
    <w:rsid w:val="00492664"/>
    <w:rsid w:val="004C62B4"/>
    <w:rsid w:val="0050640E"/>
    <w:rsid w:val="0055332A"/>
    <w:rsid w:val="005717F7"/>
    <w:rsid w:val="005D7DB5"/>
    <w:rsid w:val="0067360D"/>
    <w:rsid w:val="00702B46"/>
    <w:rsid w:val="00737206"/>
    <w:rsid w:val="00757DD1"/>
    <w:rsid w:val="007624AE"/>
    <w:rsid w:val="007E03B4"/>
    <w:rsid w:val="007F2D0A"/>
    <w:rsid w:val="008B2468"/>
    <w:rsid w:val="0096444E"/>
    <w:rsid w:val="009762A4"/>
    <w:rsid w:val="00A03A30"/>
    <w:rsid w:val="00AC6C2A"/>
    <w:rsid w:val="00AF7C2C"/>
    <w:rsid w:val="00B24D84"/>
    <w:rsid w:val="00B5393A"/>
    <w:rsid w:val="00B64816"/>
    <w:rsid w:val="00C5594C"/>
    <w:rsid w:val="00CD4D0D"/>
    <w:rsid w:val="00D016B0"/>
    <w:rsid w:val="00D072D7"/>
    <w:rsid w:val="00D8489E"/>
    <w:rsid w:val="00E12330"/>
    <w:rsid w:val="00E317C5"/>
    <w:rsid w:val="00E32E25"/>
    <w:rsid w:val="00EF292E"/>
    <w:rsid w:val="00F04A3B"/>
    <w:rsid w:val="00F85F9B"/>
    <w:rsid w:val="00F94B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FC896"/>
  <w15:chartTrackingRefBased/>
  <w15:docId w15:val="{84868D97-1091-4648-BC28-EC8C89B7A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24328"/>
    <w:rPr>
      <w:rFonts w:ascii="Verdana" w:hAnsi="Verdana"/>
      <w:sz w:val="24"/>
    </w:rPr>
  </w:style>
  <w:style w:type="paragraph" w:styleId="berschrift1">
    <w:name w:val="heading 1"/>
    <w:basedOn w:val="Standard"/>
    <w:next w:val="Standard"/>
    <w:link w:val="berschrift1Zchn"/>
    <w:uiPriority w:val="9"/>
    <w:qFormat/>
    <w:rsid w:val="00324328"/>
    <w:pPr>
      <w:keepNext/>
      <w:keepLines/>
      <w:spacing w:before="240" w:after="0"/>
      <w:outlineLvl w:val="0"/>
    </w:pPr>
    <w:rPr>
      <w:rFonts w:eastAsiaTheme="majorEastAsia" w:cstheme="majorBidi"/>
      <w:b/>
      <w:color w:val="2E74B5" w:themeColor="accent1" w:themeShade="BF"/>
      <w:sz w:val="32"/>
      <w:szCs w:val="32"/>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24328"/>
    <w:rPr>
      <w:rFonts w:ascii="Verdana" w:eastAsiaTheme="majorEastAsia" w:hAnsi="Verdana" w:cstheme="majorBidi"/>
      <w:b/>
      <w:color w:val="2E74B5" w:themeColor="accent1" w:themeShade="BF"/>
      <w:sz w:val="32"/>
      <w:szCs w:val="32"/>
      <w:u w:val="single"/>
    </w:rPr>
  </w:style>
  <w:style w:type="paragraph" w:styleId="Listenabsatz">
    <w:name w:val="List Paragraph"/>
    <w:basedOn w:val="Standard"/>
    <w:uiPriority w:val="34"/>
    <w:qFormat/>
    <w:rsid w:val="007F2D0A"/>
    <w:pPr>
      <w:ind w:left="720"/>
      <w:contextualSpacing/>
    </w:pPr>
  </w:style>
  <w:style w:type="paragraph" w:styleId="Kopfzeile">
    <w:name w:val="header"/>
    <w:basedOn w:val="Standard"/>
    <w:link w:val="KopfzeileZchn"/>
    <w:uiPriority w:val="99"/>
    <w:unhideWhenUsed/>
    <w:rsid w:val="0023222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32223"/>
    <w:rPr>
      <w:rFonts w:ascii="Verdana" w:hAnsi="Verdana"/>
      <w:sz w:val="24"/>
    </w:rPr>
  </w:style>
  <w:style w:type="paragraph" w:styleId="Fuzeile">
    <w:name w:val="footer"/>
    <w:basedOn w:val="Standard"/>
    <w:link w:val="FuzeileZchn"/>
    <w:uiPriority w:val="99"/>
    <w:unhideWhenUsed/>
    <w:rsid w:val="0023222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32223"/>
    <w:rPr>
      <w:rFonts w:ascii="Verdana" w:hAnsi="Verdan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2576</Words>
  <Characters>16232</Characters>
  <Application>Microsoft Office Word</Application>
  <DocSecurity>0</DocSecurity>
  <Lines>135</Lines>
  <Paragraphs>37</Paragraphs>
  <ScaleCrop>false</ScaleCrop>
  <HeadingPairs>
    <vt:vector size="2" baseType="variant">
      <vt:variant>
        <vt:lpstr>Titel</vt:lpstr>
      </vt:variant>
      <vt:variant>
        <vt:i4>1</vt:i4>
      </vt:variant>
    </vt:vector>
  </HeadingPairs>
  <TitlesOfParts>
    <vt:vector size="1" baseType="lpstr">
      <vt:lpstr/>
    </vt:vector>
  </TitlesOfParts>
  <Company>Stadtverwaltung Overath</Company>
  <LinksUpToDate>false</LinksUpToDate>
  <CharactersWithSpaces>18771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Reuter, Katharina</dc:creator>
  <cp:keywords/>
  <dc:description/>
  <cp:lastModifiedBy>Reuter, Katharina</cp:lastModifiedBy>
  <cp:revision>13</cp:revision>
  <dcterms:created xsi:type="dcterms:W3CDTF">2022-01-26T08:47:00Z</dcterms:created>
  <dcterms:modified xsi:type="dcterms:W3CDTF">2022-01-28T09:08:00Z</dcterms:modified>
</cp:coreProperties>
</file>